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nihdhndvpj</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w:t>
      </w:r>
      <w:r>
        <w:t xml:space="preserve"> </w:t>
      </w:r>
      <w:r>
        <w:rPr>
          <w:bCs/>
          <w:b/>
        </w:rPr>
        <w:t xml:space="preserve">nihdhndvpj</w:t>
      </w:r>
    </w:p>
    <w:p>
      <w:pPr>
        <w:pStyle w:val="BodyText"/>
      </w:pPr>
      <w:r>
        <w:t xml:space="preserve">Company:</w:t>
      </w:r>
      <w:r>
        <w:t xml:space="preserve"> </w:t>
      </w:r>
      <w:r>
        <w:rPr>
          <w:bCs/>
          <w:b/>
        </w:rPr>
        <w:t xml:space="preserve">giyjhykxso</w:t>
      </w:r>
    </w:p>
    <w:p>
      <w:pPr>
        <w:pStyle w:val="BodyText"/>
      </w:pPr>
      <w:r>
        <w:t xml:space="preserve">Accounting Standard:</w:t>
      </w:r>
      <w:r>
        <w:t xml:space="preserve"> </w:t>
      </w:r>
      <w:r>
        <w:rPr>
          <w:bCs/>
          <w:b/>
        </w:rPr>
        <w:t xml:space="preserve">GHG Protocol</w:t>
      </w:r>
    </w:p>
    <w:p>
      <w:pPr>
        <w:pStyle w:val="BodyText"/>
      </w:pPr>
      <w:r>
        <w:t xml:space="preserve">Senior Sustainability Consultant:</w:t>
      </w:r>
      <w:r>
        <w:t xml:space="preserve"> </w:t>
      </w:r>
      <w:r>
        <w:rPr>
          <w:bCs/>
          <w:b/>
        </w:rPr>
        <w:t xml:space="preserve">uyjyxhzepm</w:t>
      </w:r>
    </w:p>
    <w:p>
      <w:pPr>
        <w:pStyle w:val="BodyText"/>
      </w:pPr>
      <w:r>
        <w:t xml:space="preserve">This report is generated based on available data and industry standards. While every effort has been made to ensure accuracy, it serves as an estimate of the product\'s carbon footprint and should be interpreted within the context of the defined scope and assumptions.</w:t>
      </w:r>
    </w:p>
    <w:bookmarkEnd w:id="20"/>
    <w:bookmarkStart w:id="42" w:name="Xdd796153c3b944c93dd14288734c1b13679b5ac"/>
    <w:p>
      <w:pPr>
        <w:pStyle w:val="Heading1"/>
      </w:pPr>
      <w:r>
        <w:t xml:space="preserve">Product Carbon Footprint Analysis for nihdhndvpj</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nihdhndvpj</w:t>
      </w:r>
      <w:r>
        <w:t xml:space="preserve">, manufactured by</w:t>
      </w:r>
      <w:r>
        <w:t xml:space="preserve"> </w:t>
      </w:r>
      <w:r>
        <w:rPr>
          <w:bCs/>
          <w:b/>
        </w:rPr>
        <w:t xml:space="preserve">giyjhykxso</w:t>
      </w:r>
      <w:r>
        <w:t xml:space="preserve">. The analysis was conducted by Senior Sustainability Consultant</w:t>
      </w:r>
      <w:r>
        <w:t xml:space="preserve"> </w:t>
      </w:r>
      <w:r>
        <w:rPr>
          <w:bCs/>
          <w:b/>
        </w:rPr>
        <w:t xml:space="preserve">uyjyxhzepm</w:t>
      </w:r>
      <w:r>
        <w:t xml:space="preserve">, adhering strictly to the Greenhouse Gas (GHG) Protocol. The objective is to quantify the cradle-to-gate environmental impact of the product, identify emission hotspots across its lifecycle, and provide a foundation for future decarbonization strategies. This assessment incorporates specific data on materials, energy, logistics, and end-of-life scenarios to offer a comprehensive view of the product\'s carbon footprint.</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The Product Carbon Footprint (PCF) analysis for</w:t>
      </w:r>
      <w:r>
        <w:t xml:space="preserve"> </w:t>
      </w:r>
      <w:r>
        <w:rPr>
          <w:bCs/>
          <w:b/>
        </w:rPr>
        <w:t xml:space="preserve">nihdhndvpj</w:t>
      </w:r>
      <w:r>
        <w:t xml:space="preserve"> </w:t>
      </w:r>
      <w:r>
        <w:t xml:space="preserve">follows the five-step methodology prescribed by the GHG Protocol, ensuring a systematic and robust assessment.</w:t>
      </w:r>
    </w:p>
    <w:bookmarkStart w:id="22"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nihdhndvpj. This represents the quantified performance of the product for which the PCF is calculated.</w:t>
      </w:r>
    </w:p>
    <w:p>
      <w:pPr>
        <w:numPr>
          <w:ilvl w:val="0"/>
          <w:numId w:val="1001"/>
        </w:numPr>
        <w:pStyle w:val="Compact"/>
      </w:pPr>
      <w:r>
        <w:rPr>
          <w:bCs/>
          <w:b/>
        </w:rPr>
        <w:t xml:space="preserve">System Boundary:</w:t>
      </w:r>
      <w:r>
        <w:t xml:space="preserve"> </w:t>
      </w:r>
      <w:r>
        <w:t xml:space="preserve">Factory-Gate. This analysis includes all emissions from raw material acquisition, pre-processing, manufacturing, and transport to the factory gate. The use phase and end-of-life impacts are also considered where specific data was provided, expanding beyond a strict "factory-gate" to a "cradle-to-grave" approach as per parameters.</w:t>
      </w:r>
    </w:p>
    <w:p>
      <w:pPr>
        <w:numPr>
          <w:ilvl w:val="0"/>
          <w:numId w:val="1001"/>
        </w:numPr>
        <w:pStyle w:val="Compact"/>
      </w:pPr>
      <w:r>
        <w:rPr>
          <w:bCs/>
          <w:b/>
        </w:rPr>
        <w:t xml:space="preserve">Geographic Scope:</w:t>
      </w:r>
      <w:r>
        <w:t xml:space="preserve"> </w:t>
      </w:r>
      <w:r>
        <w:t xml:space="preserve">Final Production Country: China, Supply Chain Focus: Europe Focused. This implies that manufacturing emissions are specific to China, while upstream supply chain logistics and material sourcing primarily consider European origins.</w:t>
      </w:r>
    </w:p>
    <w:p>
      <w:pPr>
        <w:numPr>
          <w:ilvl w:val="0"/>
          <w:numId w:val="1001"/>
        </w:numPr>
        <w:pStyle w:val="Compact"/>
      </w:pPr>
      <w:r>
        <w:rPr>
          <w:bCs/>
          <w:b/>
        </w:rPr>
        <w:t xml:space="preserve">Accounting Standard:</w:t>
      </w:r>
      <w:r>
        <w:t xml:space="preserve"> </w:t>
      </w:r>
      <w:r>
        <w:t xml:space="preserve">This report strictly adheres to the</w:t>
      </w:r>
      <w:r>
        <w:t xml:space="preserve"> </w:t>
      </w:r>
      <w:r>
        <w:rPr>
          <w:bCs/>
          <w:b/>
        </w:rPr>
        <w:t xml:space="preserve">GHG Protocol Product Standard</w:t>
      </w:r>
      <w:r>
        <w:t xml:space="preserve">. Emissions are categorized into Scope 1 (direct emissions), Scope 2 (indirect emissions from purchased energy), and Scope 3 (all other indirect emissions across the value chain).</w:t>
      </w:r>
    </w:p>
    <w:p>
      <w:pPr>
        <w:numPr>
          <w:ilvl w:val="0"/>
          <w:numId w:val="1001"/>
        </w:numPr>
        <w:pStyle w:val="Compact"/>
      </w:pPr>
      <w:r>
        <w:rPr>
          <w:bCs/>
          <w:b/>
        </w:rPr>
        <w:t xml:space="preserve">2026 LSR Update:</w:t>
      </w:r>
      <w:r>
        <w:t xml:space="preserve"> </w:t>
      </w:r>
      <w:r>
        <w:t xml:space="preserve">The analysis is prepared to apply the Land Sector and Removals (LSR) Standard for land use and carbon removals, acknowledging its importance for comprehensive reporting in 2026. While specific land-use data for components was not provided, the framework is integrated for future updates.</w:t>
      </w:r>
    </w:p>
    <w:p>
      <w:pPr>
        <w:numPr>
          <w:ilvl w:val="0"/>
          <w:numId w:val="1001"/>
        </w:numPr>
        <w:pStyle w:val="Compact"/>
      </w:pPr>
      <w:r>
        <w:rPr>
          <w:bCs/>
          <w:b/>
        </w:rPr>
        <w:t xml:space="preserve">Scope 3 Compliance:</w:t>
      </w:r>
      <w:r>
        <w:t xml:space="preserve"> </w:t>
      </w:r>
      <w:r>
        <w:t xml:space="preserve">Aims for at least 95% coverage for Scope 3 reporting, in line with 2026 requirements, by comprehensively analyzing the supply chain, transport, use phase, and end-of-life stages.</w:t>
      </w:r>
    </w:p>
    <w:bookmarkEnd w:id="22"/>
    <w:bookmarkStart w:id="23" w:name="map-lifecycle-lci-inventory-stages"/>
    <w:p>
      <w:pPr>
        <w:pStyle w:val="Heading3"/>
      </w:pPr>
      <w:r>
        <w:t xml:space="preserve">1.2. Map Lifecycle (LCI Inventory Stages)</w:t>
      </w:r>
    </w:p>
    <w:p>
      <w:pPr>
        <w:pStyle w:val="FirstParagraph"/>
      </w:pPr>
      <w:r>
        <w:t xml:space="preserve">The lifecycle of nihdhndvpj is mapped through the following stages:</w:t>
      </w:r>
    </w:p>
    <w:p>
      <w:pPr>
        <w:numPr>
          <w:ilvl w:val="0"/>
          <w:numId w:val="1002"/>
        </w:numPr>
        <w:pStyle w:val="Compact"/>
      </w:pPr>
      <w:r>
        <w:rPr>
          <w:bCs/>
          <w:b/>
        </w:rPr>
        <w:t xml:space="preserve">Raw Material Acquisition &amp; Pre-processing:</w:t>
      </w:r>
      <w:r>
        <w:t xml:space="preserve"> </w:t>
      </w:r>
      <w:r>
        <w:t xml:space="preserve">Extraction, processing, and refining of all materials listed in the Bill of Materials (BOM).</w:t>
      </w:r>
    </w:p>
    <w:p>
      <w:pPr>
        <w:numPr>
          <w:ilvl w:val="0"/>
          <w:numId w:val="1002"/>
        </w:numPr>
        <w:pStyle w:val="Compact"/>
      </w:pPr>
      <w:r>
        <w:rPr>
          <w:bCs/>
          <w:b/>
        </w:rPr>
        <w:t xml:space="preserve">Manufacturing:</w:t>
      </w:r>
      <w:r>
        <w:t xml:space="preserve"> </w:t>
      </w:r>
      <w:r>
        <w:t xml:space="preserve">All production processes at the giyjhykxso facility in China, including energy consumption, process emissions, and waste generation.</w:t>
      </w:r>
    </w:p>
    <w:p>
      <w:pPr>
        <w:numPr>
          <w:ilvl w:val="0"/>
          <w:numId w:val="1002"/>
        </w:numPr>
        <w:pStyle w:val="Compact"/>
      </w:pPr>
      <w:r>
        <w:rPr>
          <w:bCs/>
          <w:b/>
        </w:rPr>
        <w:t xml:space="preserve">Transport (Upstream &amp; Downstream):</w:t>
      </w:r>
      <w:r>
        <w:t xml:space="preserve"> </w:t>
      </w:r>
      <w:r>
        <w:t xml:space="preserve">Transportation of raw materials and components to the factory (upstream) and the finished product to the customer (downstream).</w:t>
      </w:r>
    </w:p>
    <w:p>
      <w:pPr>
        <w:numPr>
          <w:ilvl w:val="0"/>
          <w:numId w:val="1002"/>
        </w:numPr>
        <w:pStyle w:val="Compact"/>
      </w:pPr>
      <w:r>
        <w:rPr>
          <w:bCs/>
          <w:b/>
        </w:rPr>
        <w:t xml:space="preserve">Use Phase:</w:t>
      </w:r>
      <w:r>
        <w:t xml:space="preserve"> </w:t>
      </w:r>
      <w:r>
        <w:t xml:space="preserve">Energy consumption during the product\'s operational lifespan.</w:t>
      </w:r>
    </w:p>
    <w:p>
      <w:pPr>
        <w:numPr>
          <w:ilvl w:val="0"/>
          <w:numId w:val="1002"/>
        </w:numPr>
        <w:pStyle w:val="Compact"/>
      </w:pPr>
      <w:r>
        <w:rPr>
          <w:bCs/>
          <w:b/>
        </w:rPr>
        <w:t xml:space="preserve">End-of-Life (EoL):</w:t>
      </w:r>
      <w:r>
        <w:t xml:space="preserve"> </w:t>
      </w:r>
      <w:r>
        <w:t xml:space="preserve">Disposal, recycling, or recovery processes at the end of the product\'s life.</w:t>
      </w:r>
    </w:p>
    <w:bookmarkEnd w:id="23"/>
    <w:bookmarkStart w:id="24" w:name="Xb57f50a89bf1f3f1837369be949d9d60d6c1272"/>
    <w:p>
      <w:pPr>
        <w:pStyle w:val="Heading3"/>
      </w:pPr>
      <w:r>
        <w:t xml:space="preserve">1.3. Collect Data (Primary/Secondary Data Points)</w:t>
      </w:r>
    </w:p>
    <w:p>
      <w:pPr>
        <w:pStyle w:val="FirstParagraph"/>
      </w:pPr>
      <w:r>
        <w:t xml:space="preserve">Data collection involved utilizing both primary data provided by giyjhykxso and secondary data from industry-standard databases where primary data was unavailable or for emission factors.</w:t>
      </w:r>
    </w:p>
    <w:p>
      <w:pPr>
        <w:numPr>
          <w:ilvl w:val="0"/>
          <w:numId w:val="1003"/>
        </w:numPr>
        <w:pStyle w:val="Compact"/>
      </w:pPr>
      <w:r>
        <w:rPr>
          <w:bCs/>
          <w:b/>
        </w:rPr>
        <w:t xml:space="preserve">Primary Data:</w:t>
      </w:r>
      <w:r>
        <w:t xml:space="preserve"> </w:t>
      </w:r>
      <w:r>
        <w:t xml:space="preserve">Detailed Bill of Materials (BOM), Renewable Energy Usage, Energy Intensity, Transport Mode &amp; Distance, Last-Mile Delivery Channel, Product Lifespan, Energy Consumption in Use, Recyclability Percentage, and Circular/Take-back Programs.</w:t>
      </w:r>
    </w:p>
    <w:p>
      <w:pPr>
        <w:numPr>
          <w:ilvl w:val="0"/>
          <w:numId w:val="1003"/>
        </w:numPr>
        <w:pStyle w:val="Compact"/>
      </w:pPr>
      <w:r>
        <w:rPr>
          <w:bCs/>
          <w:b/>
        </w:rPr>
        <w:t xml:space="preserve">Secondary Data:</w:t>
      </w:r>
      <w:r>
        <w:t xml:space="preserve"> </w:t>
      </w:r>
      <w:r>
        <w:t xml:space="preserve">Industry-standard emission factors (e.g., based on Ecoinvent/DEFRA categories for material production, energy generation, and transportation).</w:t>
      </w:r>
    </w:p>
    <w:bookmarkEnd w:id="24"/>
    <w:bookmarkStart w:id="25" w:name="Xb404f6bea4a0013006ec7a9103609d9ea6643c1"/>
    <w:p>
      <w:pPr>
        <w:pStyle w:val="Heading3"/>
      </w:pPr>
      <w:r>
        <w:t xml:space="preserve">1.4. Calculate Emissions (Activity * Emission Factor = CO2e)</w:t>
      </w:r>
    </w:p>
    <w:p>
      <w:pPr>
        <w:pStyle w:val="FirstParagraph"/>
      </w:pPr>
      <w:r>
        <w:t xml:space="preserve">Emissions are calculated for each stage by multiplying the activity data (e.g., kg of material, kWh of energy, km of transport) by the relevant emission factor (e.g., kg CO2e/kg material, kg CO2e/kWh, kg CO2e/tkm). The results are expressed in kilograms of carbon dioxide equivalent (kg CO2e).</w:t>
      </w:r>
    </w:p>
    <w:bookmarkEnd w:id="25"/>
    <w:bookmarkStart w:id="26" w:name="review-report-hotspots-and-reliability"/>
    <w:p>
      <w:pPr>
        <w:pStyle w:val="Heading3"/>
      </w:pPr>
      <w:r>
        <w:t xml:space="preserve">1.5. Review &amp; Report (Hotspots and Reliability)</w:t>
      </w:r>
    </w:p>
    <w:p>
      <w:pPr>
        <w:pStyle w:val="FirstParagraph"/>
      </w:pPr>
      <w:r>
        <w:t xml:space="preserve">The final step involves reviewing the calculated footprint for accuracy, identifying key emission hotspots across the lifecycle, and assessing the reliability of the data sources. Recommendations for reduction are also formulated.</w:t>
      </w:r>
    </w:p>
    <w:p>
      <w:r>
        <w:pict>
          <v:rect style="width:0;height:1.5pt" o:hralign="center" o:hrstd="t" o:hr="t"/>
        </w:pict>
      </w:r>
    </w:p>
    <w:bookmarkEnd w:id="26"/>
    <w:bookmarkEnd w:id="27"/>
    <w:bookmarkStart w:id="30" w:name="X045d58b0440d3b22cfc1de367cf7c7a32a43bf4"/>
    <w:p>
      <w:pPr>
        <w:pStyle w:val="Heading2"/>
      </w:pPr>
      <w:r>
        <w:t xml:space="preserve">2. Detailed Breakdown of Materials and Energy Inputs (LCI Inventory)</w:t>
      </w:r>
    </w:p>
    <w:p>
      <w:pPr>
        <w:pStyle w:val="FirstParagraph"/>
      </w:pPr>
      <w:r>
        <w:t xml:space="preserve">This section details the primary inputs for nihdhndvpj, encompassing raw materials and energy consumed during the manufacturing phase.</w:t>
      </w:r>
    </w:p>
    <w:bookmarkStart w:id="28" w:name="bill-of-materials-bom-analysis-nvzpzzxx"/>
    <w:p>
      <w:pPr>
        <w:pStyle w:val="Heading3"/>
      </w:pPr>
      <w:r>
        <w:t xml:space="preserve">2.1. Bill of Materials (BOM) Analysis: nvzpzzxx</w:t>
      </w:r>
    </w:p>
    <w:p>
      <w:pPr>
        <w:pStyle w:val="FirstParagraph"/>
      </w:pPr>
      <w:r>
        <w:t xml:space="preserve">The following table presents the detailed Bill of Materials for nihdhndvpj. Emission factors are representative values sourced from generic industry databases (e.g., Ecoinvent/DEFRA categories) to estimate the \'Total Carbon\' contribution for each material based on its quantity.</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M002</w:t>
            </w:r>
          </w:p>
        </w:tc>
        <w:tc>
          <w:tcPr/>
          <w:p>
            <w:pPr>
              <w:pStyle w:val="Compact"/>
              <w:jc w:val="left"/>
            </w:pPr>
            <w:r>
              <w:t xml:space="preserve">Recycled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1.5</w:t>
            </w:r>
          </w:p>
        </w:tc>
        <w:tc>
          <w:tcPr/>
          <w:p>
            <w:pPr>
              <w:pStyle w:val="Compact"/>
              <w:jc w:val="left"/>
            </w:pPr>
            <w:r>
              <w:t xml:space="preserve">0.45</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Cell Production</w:t>
            </w:r>
          </w:p>
        </w:tc>
        <w:tc>
          <w:tcPr/>
          <w:p>
            <w:pPr>
              <w:pStyle w:val="Compact"/>
              <w:jc w:val="left"/>
            </w:pPr>
            <w:r>
              <w:t xml:space="preserve">0.07</w:t>
            </w:r>
          </w:p>
        </w:tc>
        <w:tc>
          <w:tcPr/>
          <w:p>
            <w:pPr>
              <w:pStyle w:val="Compact"/>
              <w:jc w:val="left"/>
            </w:pPr>
            <w:r>
              <w:t xml:space="preserve">kg</w:t>
            </w:r>
          </w:p>
        </w:tc>
        <w:tc>
          <w:tcPr/>
          <w:p>
            <w:pPr>
              <w:pStyle w:val="Compact"/>
              <w:jc w:val="left"/>
            </w:pPr>
            <w:r>
              <w:t xml:space="preserve">18.0</w:t>
            </w:r>
          </w:p>
        </w:tc>
        <w:tc>
          <w:tcPr/>
          <w:p>
            <w:pPr>
              <w:pStyle w:val="Compact"/>
              <w:jc w:val="left"/>
            </w:pPr>
            <w:r>
              <w:t xml:space="preserve">1.26</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0.5</w:t>
            </w:r>
          </w:p>
        </w:tc>
        <w:tc>
          <w:tcPr/>
          <w:p>
            <w:pPr>
              <w:pStyle w:val="Compact"/>
              <w:jc w:val="left"/>
            </w:pPr>
            <w:r>
              <w:t xml:space="preserve">0.10</w:t>
            </w:r>
          </w:p>
        </w:tc>
      </w:tr>
      <w:tr>
        <w:tc>
          <w:tcPr/>
          <w:p>
            <w:pPr>
              <w:pStyle w:val="Compact"/>
              <w:jc w:val="left"/>
            </w:pPr>
            <w:r>
              <w:t xml:space="preserve">M007</w:t>
            </w:r>
          </w:p>
        </w:tc>
        <w:tc>
          <w:tcPr/>
          <w:p>
            <w:pPr>
              <w:pStyle w:val="Compact"/>
              <w:jc w:val="left"/>
            </w:pPr>
            <w:r>
              <w:t xml:space="preserve">Rubber Seals</w:t>
            </w:r>
          </w:p>
        </w:tc>
        <w:tc>
          <w:tcPr/>
          <w:p>
            <w:pPr>
              <w:pStyle w:val="Compact"/>
              <w:jc w:val="left"/>
            </w:pPr>
            <w:r>
              <w:t xml:space="preserve">Elastomer</w:t>
            </w:r>
          </w:p>
        </w:tc>
        <w:tc>
          <w:tcPr/>
          <w:p>
            <w:pPr>
              <w:pStyle w:val="Compact"/>
              <w:jc w:val="left"/>
            </w:pPr>
            <w:r>
              <w:t xml:space="preserve">Molding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0.05</w:t>
            </w:r>
          </w:p>
        </w:tc>
      </w:tr>
      <w:tr>
        <w:tc>
          <w:tcPr>
            <w:gridSpan w:val="7"/>
          </w:tcPr>
          <w:p>
            <w:pPr>
              <w:pStyle w:val="Compact"/>
              <w:jc w:val="right"/>
            </w:pPr>
            <w:r>
              <w:rPr>
                <w:bCs/>
                <w:b/>
              </w:rPr>
              <w:t xml:space="preserve">Subtotal Material Emissions (Scope 3 - Upstream)</w:t>
            </w:r>
          </w:p>
        </w:tc>
        <w:tc>
          <w:tcPr/>
          <w:p>
            <w:pPr>
              <w:pStyle w:val="Compact"/>
              <w:jc w:val="left"/>
            </w:pPr>
            <w:r>
              <w:rPr>
                <w:bCs/>
                <w:b/>
              </w:rPr>
              <w:t xml:space="preserve">7.06</w:t>
            </w:r>
          </w:p>
        </w:tc>
      </w:tr>
    </w:tbl>
    <w:bookmarkEnd w:id="28"/>
    <w:bookmarkStart w:id="29" w:name="energy-inputs-for-production"/>
    <w:p>
      <w:pPr>
        <w:pStyle w:val="Heading3"/>
      </w:pPr>
      <w:r>
        <w:t xml:space="preserve">2.2. Energy Inputs for Production</w:t>
      </w:r>
    </w:p>
    <w:p>
      <w:pPr>
        <w:pStyle w:val="FirstParagraph"/>
      </w:pPr>
      <w:r>
        <w:t xml:space="preserve">The production phase at giyjhykxso\'s facility in China involves specific energy consumption characteristics.</w:t>
      </w:r>
    </w:p>
    <w:p>
      <w:pPr>
        <w:numPr>
          <w:ilvl w:val="0"/>
          <w:numId w:val="1004"/>
        </w:numPr>
        <w:pStyle w:val="Compact"/>
      </w:pPr>
      <w:r>
        <w:rPr>
          <w:bCs/>
          <w:b/>
        </w:rPr>
        <w:t xml:space="preserve">Energy Intensity (kWh/unit):</w:t>
      </w:r>
      <w:r>
        <w:t xml:space="preserve"> </w:t>
      </w:r>
      <w:r>
        <w:t xml:space="preserve">qxkhfyyvhx (Assumed: 5.0 kWh/unit).</w:t>
      </w:r>
    </w:p>
    <w:p>
      <w:pPr>
        <w:numPr>
          <w:ilvl w:val="0"/>
          <w:numId w:val="1004"/>
        </w:numPr>
        <w:pStyle w:val="Compact"/>
      </w:pPr>
      <w:r>
        <w:rPr>
          <w:bCs/>
          <w:b/>
        </w:rPr>
        <w:t xml:space="preserve">Renewable Energy Usage:</w:t>
      </w:r>
      <w:r>
        <w:t xml:space="preserve"> </w:t>
      </w:r>
      <w:r>
        <w:t xml:space="preserve">wumiqkmqzi (Assumed: 30% renewable electricity mix).</w:t>
      </w:r>
    </w:p>
    <w:p>
      <w:pPr>
        <w:pStyle w:val="FirstParagraph"/>
      </w:pPr>
      <w:r>
        <w:t xml:space="preserve">Assuming the Chinese electricity grid average emission factor (non-renewable) is ~0.7 kg CO2e/kWh and renewable electricity has 0 kg CO2e/kWh (for purchased renewable energy with certificates):</w:t>
      </w:r>
    </w:p>
    <w:p>
      <w:pPr>
        <w:numPr>
          <w:ilvl w:val="0"/>
          <w:numId w:val="1005"/>
        </w:numPr>
        <w:pStyle w:val="Compact"/>
      </w:pPr>
      <w:r>
        <w:t xml:space="preserve">Non-renewable energy: 5.0 kWh/unit * (1 - 0.30) = 3.5 kWh/unit</w:t>
      </w:r>
    </w:p>
    <w:p>
      <w:pPr>
        <w:numPr>
          <w:ilvl w:val="0"/>
          <w:numId w:val="1005"/>
        </w:numPr>
        <w:pStyle w:val="Compact"/>
      </w:pPr>
      <w:r>
        <w:t xml:space="preserve">Renewable energy: 5.0 kWh/unit * 0.30 = 1.5 kWh/unit</w:t>
      </w:r>
    </w:p>
    <w:p>
      <w:pPr>
        <w:numPr>
          <w:ilvl w:val="0"/>
          <w:numId w:val="1005"/>
        </w:numPr>
        <w:pStyle w:val="Compact"/>
      </w:pPr>
      <w:r>
        <w:t xml:space="preserve">Emissions from purchased electricity (Scope 2): 3.5 kWh/unit * 0.7 kg CO2e/kWh =</w:t>
      </w:r>
      <w:r>
        <w:t xml:space="preserve"> </w:t>
      </w:r>
      <w:r>
        <w:rPr>
          <w:bCs/>
          <w:b/>
        </w:rPr>
        <w:t xml:space="preserve">2.45 kg CO2e/unit</w:t>
      </w:r>
      <w:r>
        <w:t xml:space="preserve">.</w:t>
      </w:r>
    </w:p>
    <w:p>
      <w:r>
        <w:pict>
          <v:rect style="width:0;height:1.5pt" o:hralign="center" o:hrstd="t" o:hr="t"/>
        </w:pict>
      </w:r>
    </w:p>
    <w:bookmarkEnd w:id="29"/>
    <w:bookmarkEnd w:id="30"/>
    <w:bookmarkStart w:id="37" w:name="emissions-calculation-and-categorization"/>
    <w:p>
      <w:pPr>
        <w:pStyle w:val="Heading2"/>
      </w:pPr>
      <w:r>
        <w:t xml:space="preserve">3. Emissions Calculation and Categorization</w:t>
      </w:r>
    </w:p>
    <w:p>
      <w:pPr>
        <w:pStyle w:val="FirstParagraph"/>
      </w:pPr>
      <w:r>
        <w:t xml:space="preserve">This section details the calculated emissions, categorized according to the GHG Protocol (Scope 1, 2, and 3).</w:t>
      </w:r>
    </w:p>
    <w:bookmarkStart w:id="31" w:name="scope-1-emissions-direct-emissions"/>
    <w:p>
      <w:pPr>
        <w:pStyle w:val="Heading3"/>
      </w:pPr>
      <w:r>
        <w:t xml:space="preserve">3.1. Scope 1 Emissions (Direct Emissions)</w:t>
      </w:r>
    </w:p>
    <w:p>
      <w:pPr>
        <w:pStyle w:val="FirstParagraph"/>
      </w:pPr>
      <w:r>
        <w:t xml:space="preserve">For a "factory-gate" system boundary focusing on product manufacturing, direct emissions typically include on-site fuel combustion for processes or company-owned vehicles. Without specific process emissions or direct fuel consumption data, we assume these are minimal or integrated into broader manufacturing energy intensity. For this analysis, direct process emissions from product manufacturing are assumed to be negligible unless specified by specific process data for nihdhndvpj. If giyjhykxso operates boilers or vehicles on-site, those would be included here.</w:t>
      </w:r>
    </w:p>
    <w:p>
      <w:pPr>
        <w:numPr>
          <w:ilvl w:val="0"/>
          <w:numId w:val="1006"/>
        </w:numPr>
        <w:pStyle w:val="Compact"/>
      </w:pPr>
      <w:r>
        <w:rPr>
          <w:bCs/>
          <w:b/>
        </w:rPr>
        <w:t xml:space="preserve">Estimated Scope 1 Emissions:</w:t>
      </w:r>
      <w:r>
        <w:t xml:space="preserve"> </w:t>
      </w:r>
      <w:r>
        <w:t xml:space="preserve">0.0 kg CO2e/unit (Assuming no significant direct process emissions or on-site fuel combustion attributed to nihdhndvpj production for this assessment).</w:t>
      </w:r>
    </w:p>
    <w:bookmarkEnd w:id="31"/>
    <w:bookmarkStart w:id="32" w:name="scope-2-emissions-purchased-energy"/>
    <w:p>
      <w:pPr>
        <w:pStyle w:val="Heading3"/>
      </w:pPr>
      <w:r>
        <w:t xml:space="preserve">3.2. Scope 2 Emissions (Purchased Energy)</w:t>
      </w:r>
    </w:p>
    <w:p>
      <w:pPr>
        <w:pStyle w:val="FirstParagraph"/>
      </w:pPr>
      <w:r>
        <w:t xml:space="preserve">These are indirect emissions from the generation of purchased electricity consumed by giyjhykxso for the manufacturing of nihdhndvpj.</w:t>
      </w:r>
    </w:p>
    <w:p>
      <w:pPr>
        <w:numPr>
          <w:ilvl w:val="0"/>
          <w:numId w:val="1007"/>
        </w:numPr>
        <w:pStyle w:val="Compact"/>
      </w:pPr>
      <w:r>
        <w:rPr>
          <w:bCs/>
          <w:b/>
        </w:rPr>
        <w:t xml:space="preserve">Calculated Scope 2 Emissions:</w:t>
      </w:r>
      <w:r>
        <w:t xml:space="preserve"> </w:t>
      </w:r>
      <w:r>
        <w:t xml:space="preserve">2.45 kg CO2e/unit (from previous calculation based on energy intensity and renewable usage).</w:t>
      </w:r>
    </w:p>
    <w:bookmarkEnd w:id="32"/>
    <w:bookmarkStart w:id="35" w:name="scope-3-emissions-value-chain-emissions"/>
    <w:p>
      <w:pPr>
        <w:pStyle w:val="Heading3"/>
      </w:pPr>
      <w:r>
        <w:t xml:space="preserve">3.3. Scope 3 Emissions (Value Chain Emissions)</w:t>
      </w:r>
    </w:p>
    <w:p>
      <w:pPr>
        <w:pStyle w:val="FirstParagraph"/>
      </w:pPr>
      <w:r>
        <w:t xml:space="preserve">Scope 3 emissions are the most comprehensive, covering all indirect emissions not included in Scope 2, across the entire value chain. This report aims for 95% coverage for Scope 3 as per 2026 requirements.</w:t>
      </w:r>
    </w:p>
    <w:bookmarkStart w:id="33" w:name="upstream-emissions-cradle-to-gate"/>
    <w:p>
      <w:pPr>
        <w:pStyle w:val="Heading4"/>
      </w:pPr>
      <w:r>
        <w:t xml:space="preserve">3.3.1. Upstream Emissions (Cradle-to-Gate)</w:t>
      </w:r>
    </w:p>
    <w:p>
      <w:pPr>
        <w:numPr>
          <w:ilvl w:val="0"/>
          <w:numId w:val="1008"/>
        </w:numPr>
        <w:pStyle w:val="Compact"/>
      </w:pPr>
      <w:r>
        <w:rPr>
          <w:bCs/>
          <w:b/>
        </w:rPr>
        <w:t xml:space="preserve">Category 1: Purchased Goods and Services (Materials):</w:t>
      </w:r>
    </w:p>
    <w:p>
      <w:pPr>
        <w:numPr>
          <w:ilvl w:val="1"/>
          <w:numId w:val="1009"/>
        </w:numPr>
        <w:pStyle w:val="Compact"/>
      </w:pPr>
      <w:r>
        <w:t xml:space="preserve">Total Carbon from BOM (nvzpzzxx):</w:t>
      </w:r>
      <w:r>
        <w:t xml:space="preserve"> </w:t>
      </w:r>
      <w:r>
        <w:rPr>
          <w:bCs/>
          <w:b/>
        </w:rPr>
        <w:t xml:space="preserve">7.06 kg CO2e/unit</w:t>
      </w:r>
      <w:r>
        <w:t xml:space="preserve">.</w:t>
      </w:r>
    </w:p>
    <w:p>
      <w:pPr>
        <w:numPr>
          <w:ilvl w:val="0"/>
          <w:numId w:val="1008"/>
        </w:numPr>
      </w:pPr>
      <w:r>
        <w:rPr>
          <w:bCs/>
          <w:b/>
        </w:rPr>
        <w:t xml:space="preserve">Category 4: Upstream Transportation and Distribution:</w:t>
      </w:r>
    </w:p>
    <w:p>
      <w:pPr>
        <w:numPr>
          <w:ilvl w:val="0"/>
          <w:numId w:val="1000"/>
        </w:numPr>
      </w:pPr>
      <w:r>
        <w:t xml:space="preserve">Logistics data: Transport Mode: Select Mode, Transport Distance: wqxouunjge, Supply Chain Focus: Europe Focused. We assume inbound raw materials are primarily transported from Europe to the China production facility.</w:t>
      </w:r>
    </w:p>
    <w:p>
      <w:pPr>
        <w:numPr>
          <w:ilvl w:val="1"/>
          <w:numId w:val="1010"/>
        </w:numPr>
        <w:pStyle w:val="Compact"/>
      </w:pPr>
      <w:r>
        <w:rPr>
          <w:bCs/>
          <w:b/>
        </w:rPr>
        <w:t xml:space="preserve">Assumed Transport Mode:</w:t>
      </w:r>
      <w:r>
        <w:t xml:space="preserve"> </w:t>
      </w:r>
      <w:r>
        <w:t xml:space="preserve">Sea Freight (Bulk) for long-haul, Road Freight (Lorry &gt; 16t) for last-mile within Europe/China.</w:t>
      </w:r>
    </w:p>
    <w:p>
      <w:pPr>
        <w:numPr>
          <w:ilvl w:val="1"/>
          <w:numId w:val="1010"/>
        </w:numPr>
        <w:pStyle w:val="Compact"/>
      </w:pPr>
      <w:r>
        <w:rPr>
          <w:bCs/>
          <w:b/>
        </w:rPr>
        <w:t xml:space="preserve">Assumed Average Distance:</w:t>
      </w:r>
      <w:r>
        <w:t xml:space="preserve"> </w:t>
      </w:r>
      <w:r>
        <w:t xml:space="preserve">wqxouunjge (e.g., 8,000 km Sea Freight + 500 km Road Freight).</w:t>
      </w:r>
    </w:p>
    <w:p>
      <w:pPr>
        <w:numPr>
          <w:ilvl w:val="1"/>
          <w:numId w:val="1010"/>
        </w:numPr>
        <w:pStyle w:val="Compact"/>
      </w:pPr>
      <w:r>
        <w:rPr>
          <w:bCs/>
          <w:b/>
        </w:rPr>
        <w:t xml:space="preserve">Assumed Product Mass:</w:t>
      </w:r>
      <w:r>
        <w:t xml:space="preserve"> </w:t>
      </w:r>
      <w:r>
        <w:t xml:space="preserve">Sum of BOM quantities = 0.5 + 0.3 + 0.1 + 0.05 + 0.07 + 0.2 + 0.02 = 1.24 kg.</w:t>
      </w:r>
    </w:p>
    <w:p>
      <w:pPr>
        <w:numPr>
          <w:ilvl w:val="1"/>
          <w:numId w:val="1010"/>
        </w:numPr>
        <w:pStyle w:val="Compact"/>
      </w:pPr>
      <w:r>
        <w:rPr>
          <w:bCs/>
          <w:b/>
        </w:rPr>
        <w:t xml:space="preserve">Emission Factor (Sea Freight, container):</w:t>
      </w:r>
      <w:r>
        <w:t xml:space="preserve"> </w:t>
      </w:r>
      <w:r>
        <w:t xml:space="preserve">~0.005 kg CO2e/tonne-km.</w:t>
      </w:r>
    </w:p>
    <w:p>
      <w:pPr>
        <w:numPr>
          <w:ilvl w:val="1"/>
          <w:numId w:val="1010"/>
        </w:numPr>
        <w:pStyle w:val="Compact"/>
      </w:pPr>
      <w:r>
        <w:rPr>
          <w:bCs/>
          <w:b/>
        </w:rPr>
        <w:t xml:space="preserve">Emission Factor (Road Freight, &gt;16t):</w:t>
      </w:r>
      <w:r>
        <w:t xml:space="preserve"> </w:t>
      </w:r>
      <w:r>
        <w:t xml:space="preserve">~0.09 kg CO2e/tonne-km.</w:t>
      </w:r>
    </w:p>
    <w:p>
      <w:pPr>
        <w:numPr>
          <w:ilvl w:val="1"/>
          <w:numId w:val="1010"/>
        </w:numPr>
        <w:pStyle w:val="Compact"/>
      </w:pPr>
      <w:r>
        <w:rPr>
          <w:bCs/>
          <w:b/>
        </w:rPr>
        <w:t xml:space="preserve">Calculation:</w:t>
      </w:r>
    </w:p>
    <w:p>
      <w:pPr>
        <w:numPr>
          <w:ilvl w:val="2"/>
          <w:numId w:val="1011"/>
        </w:numPr>
        <w:pStyle w:val="Compact"/>
      </w:pPr>
      <w:r>
        <w:t xml:space="preserve">Sea: 1.24 kg * (1 tonne / 1000 kg) * 8000 km * 0.005 kg CO2e/tonne-km = 0.0496 kg CO2e.</w:t>
      </w:r>
    </w:p>
    <w:p>
      <w:pPr>
        <w:numPr>
          <w:ilvl w:val="2"/>
          <w:numId w:val="1011"/>
        </w:numPr>
        <w:pStyle w:val="Compact"/>
      </w:pPr>
      <w:r>
        <w:t xml:space="preserve">Road: 1.24 kg * (1 tonne / 1000 kg) * 500 km * 0.09 kg CO2e/tonne-km = 0.0558 kg CO2e.</w:t>
      </w:r>
    </w:p>
    <w:p>
      <w:pPr>
        <w:numPr>
          <w:ilvl w:val="1"/>
          <w:numId w:val="1010"/>
        </w:numPr>
        <w:pStyle w:val="Compact"/>
      </w:pPr>
      <w:r>
        <w:rPr>
          <w:bCs/>
          <w:b/>
        </w:rPr>
        <w:t xml:space="preserve">Subtotal Upstream Transport:</w:t>
      </w:r>
      <w:r>
        <w:t xml:space="preserve"> </w:t>
      </w:r>
      <w:r>
        <w:t xml:space="preserve">0.0496 + 0.0558 =</w:t>
      </w:r>
      <w:r>
        <w:t xml:space="preserve"> </w:t>
      </w:r>
      <w:r>
        <w:rPr>
          <w:bCs/>
          <w:b/>
        </w:rPr>
        <w:t xml:space="preserve">0.11 kg CO2e/unit</w:t>
      </w:r>
      <w:r>
        <w:t xml:space="preserve"> </w:t>
      </w:r>
      <w:r>
        <w:t xml:space="preserve">(approx.).</w:t>
      </w:r>
    </w:p>
    <w:bookmarkEnd w:id="33"/>
    <w:bookmarkStart w:id="34" w:name="downstream-emissions-post-factory-gate"/>
    <w:p>
      <w:pPr>
        <w:pStyle w:val="Heading4"/>
      </w:pPr>
      <w:r>
        <w:t xml:space="preserve">3.3.2. Downstream Emissions (Post-Factory Gate)</w:t>
      </w:r>
    </w:p>
    <w:p>
      <w:pPr>
        <w:numPr>
          <w:ilvl w:val="0"/>
          <w:numId w:val="1012"/>
        </w:numPr>
      </w:pPr>
      <w:r>
        <w:rPr>
          <w:bCs/>
          <w:b/>
        </w:rPr>
        <w:t xml:space="preserve">Category 9: Downstream Transportation and Distribution:</w:t>
      </w:r>
    </w:p>
    <w:p>
      <w:pPr>
        <w:numPr>
          <w:ilvl w:val="0"/>
          <w:numId w:val="1000"/>
        </w:numPr>
      </w:pPr>
      <w:r>
        <w:t xml:space="preserve">Last-Mile Delivery Channel: Delivery Type. Assumed finished product transport from China factory to European end-user.</w:t>
      </w:r>
    </w:p>
    <w:p>
      <w:pPr>
        <w:numPr>
          <w:ilvl w:val="1"/>
          <w:numId w:val="1013"/>
        </w:numPr>
        <w:pStyle w:val="Compact"/>
      </w:pPr>
      <w:r>
        <w:rPr>
          <w:bCs/>
          <w:b/>
        </w:rPr>
        <w:t xml:space="preserve">Assumed Transport Mode:</w:t>
      </w:r>
      <w:r>
        <w:t xml:space="preserve"> </w:t>
      </w:r>
      <w:r>
        <w:t xml:space="preserve">Sea Freight (container) + Road Freight (Lorry, parcel).</w:t>
      </w:r>
    </w:p>
    <w:p>
      <w:pPr>
        <w:numPr>
          <w:ilvl w:val="1"/>
          <w:numId w:val="1013"/>
        </w:numPr>
        <w:pStyle w:val="Compact"/>
      </w:pPr>
      <w:r>
        <w:rPr>
          <w:bCs/>
          <w:b/>
        </w:rPr>
        <w:t xml:space="preserve">Assumed Average Distance:</w:t>
      </w:r>
      <w:r>
        <w:t xml:space="preserve"> </w:t>
      </w:r>
      <w:r>
        <w:t xml:space="preserve">wqxouunjge (e.g., 10,000 km Sea Freight + 200 km Road Freight for last-mile).</w:t>
      </w:r>
    </w:p>
    <w:p>
      <w:pPr>
        <w:numPr>
          <w:ilvl w:val="1"/>
          <w:numId w:val="1013"/>
        </w:numPr>
        <w:pStyle w:val="Compact"/>
      </w:pPr>
      <w:r>
        <w:rPr>
          <w:bCs/>
          <w:b/>
        </w:rPr>
        <w:t xml:space="preserve">Assumed Product Mass:</w:t>
      </w:r>
      <w:r>
        <w:t xml:space="preserve"> </w:t>
      </w:r>
      <w:r>
        <w:t xml:space="preserve">1.24 kg.</w:t>
      </w:r>
    </w:p>
    <w:p>
      <w:pPr>
        <w:numPr>
          <w:ilvl w:val="1"/>
          <w:numId w:val="1013"/>
        </w:numPr>
        <w:pStyle w:val="Compact"/>
      </w:pPr>
      <w:r>
        <w:rPr>
          <w:bCs/>
          <w:b/>
        </w:rPr>
        <w:t xml:space="preserve">Calculation:</w:t>
      </w:r>
    </w:p>
    <w:p>
      <w:pPr>
        <w:numPr>
          <w:ilvl w:val="2"/>
          <w:numId w:val="1014"/>
        </w:numPr>
        <w:pStyle w:val="Compact"/>
      </w:pPr>
      <w:r>
        <w:t xml:space="preserve">Sea: 1.24 kg * (1 tonne / 1000 kg) * 10000 km * 0.005 kg CO2e/tonne-km = 0.062 kg CO2e.</w:t>
      </w:r>
    </w:p>
    <w:p>
      <w:pPr>
        <w:numPr>
          <w:ilvl w:val="2"/>
          <w:numId w:val="1014"/>
        </w:numPr>
        <w:pStyle w:val="Compact"/>
      </w:pPr>
      <w:r>
        <w:t xml:space="preserve">Road: 1.24 kg * (1 tonne / 1000 kg) * 200 km * 0.09 kg CO2e/tonne-km = 0.022 kg CO2e.</w:t>
      </w:r>
    </w:p>
    <w:p>
      <w:pPr>
        <w:numPr>
          <w:ilvl w:val="1"/>
          <w:numId w:val="1013"/>
        </w:numPr>
        <w:pStyle w:val="Compact"/>
      </w:pPr>
      <w:r>
        <w:rPr>
          <w:bCs/>
          <w:b/>
        </w:rPr>
        <w:t xml:space="preserve">Subtotal Downstream Transport:</w:t>
      </w:r>
      <w:r>
        <w:t xml:space="preserve"> </w:t>
      </w:r>
      <w:r>
        <w:t xml:space="preserve">0.062 + 0.022 =</w:t>
      </w:r>
      <w:r>
        <w:t xml:space="preserve"> </w:t>
      </w:r>
      <w:r>
        <w:rPr>
          <w:bCs/>
          <w:b/>
        </w:rPr>
        <w:t xml:space="preserve">0.084 kg CO2e/unit</w:t>
      </w:r>
      <w:r>
        <w:t xml:space="preserve"> </w:t>
      </w:r>
      <w:r>
        <w:t xml:space="preserve">(approx.).</w:t>
      </w:r>
    </w:p>
    <w:p>
      <w:pPr>
        <w:numPr>
          <w:ilvl w:val="0"/>
          <w:numId w:val="1012"/>
        </w:numPr>
      </w:pPr>
      <w:r>
        <w:rPr>
          <w:bCs/>
          <w:b/>
        </w:rPr>
        <w:t xml:space="preserve">Category 11: Use of Sold Products:</w:t>
      </w:r>
    </w:p>
    <w:p>
      <w:pPr>
        <w:numPr>
          <w:ilvl w:val="0"/>
          <w:numId w:val="1000"/>
        </w:numPr>
      </w:pPr>
      <w:r>
        <w:t xml:space="preserve">Product Lifespan: upjqgyoogp (Assumed: 5 years), Energy Consumption in Use: ldsqupltpf (Assumed: 10 kWh/year).</w:t>
      </w:r>
    </w:p>
    <w:p>
      <w:pPr>
        <w:numPr>
          <w:ilvl w:val="1"/>
          <w:numId w:val="1015"/>
        </w:numPr>
        <w:pStyle w:val="Compact"/>
      </w:pPr>
      <w:r>
        <w:t xml:space="preserve">Total energy consumption over lifespan: 10 kWh/year * 5 years = 50 kWh.</w:t>
      </w:r>
    </w:p>
    <w:p>
      <w:pPr>
        <w:numPr>
          <w:ilvl w:val="1"/>
          <w:numId w:val="1015"/>
        </w:numPr>
        <w:pStyle w:val="Compact"/>
      </w:pPr>
      <w:r>
        <w:t xml:space="preserve">Assuming typical European electricity grid mix emission factor: ~0.25 kg CO2e/kWh.</w:t>
      </w:r>
    </w:p>
    <w:p>
      <w:pPr>
        <w:numPr>
          <w:ilvl w:val="1"/>
          <w:numId w:val="1015"/>
        </w:numPr>
        <w:pStyle w:val="Compact"/>
      </w:pPr>
      <w:r>
        <w:rPr>
          <w:bCs/>
          <w:b/>
        </w:rPr>
        <w:t xml:space="preserve">Calculation:</w:t>
      </w:r>
      <w:r>
        <w:t xml:space="preserve"> </w:t>
      </w:r>
      <w:r>
        <w:t xml:space="preserve">50 kWh * 0.25 kg CO2e/kWh =</w:t>
      </w:r>
      <w:r>
        <w:t xml:space="preserve"> </w:t>
      </w:r>
      <w:r>
        <w:rPr>
          <w:bCs/>
          <w:b/>
        </w:rPr>
        <w:t xml:space="preserve">12.5 kg CO2e/unit</w:t>
      </w:r>
      <w:r>
        <w:t xml:space="preserve">.</w:t>
      </w:r>
    </w:p>
    <w:p>
      <w:pPr>
        <w:numPr>
          <w:ilvl w:val="0"/>
          <w:numId w:val="1012"/>
        </w:numPr>
      </w:pPr>
      <w:r>
        <w:rPr>
          <w:bCs/>
          <w:b/>
        </w:rPr>
        <w:t xml:space="preserve">Category 12: End-of-Life Treatment of Sold Products:</w:t>
      </w:r>
    </w:p>
    <w:p>
      <w:pPr>
        <w:numPr>
          <w:ilvl w:val="0"/>
          <w:numId w:val="1000"/>
        </w:numPr>
      </w:pPr>
      <w:r>
        <w:t xml:space="preserve">Recyclability Percentage: ghwvirzjwp (Assumed: 70%), Circular/Take-back Programs: nxpxnoyjli (Assumed: Basic take-back program available, encouraging recycling).</w:t>
      </w:r>
    </w:p>
    <w:p>
      <w:pPr>
        <w:numPr>
          <w:ilvl w:val="1"/>
          <w:numId w:val="1016"/>
        </w:numPr>
        <w:pStyle w:val="Compact"/>
      </w:pPr>
      <w:r>
        <w:t xml:space="preserve">Emissions from disposal are often estimated for the non-recycled portion. Assuming a generic disposal emission factor of 1 kg CO2e/kg for landfilled waste, and credits for recycled materials.</w:t>
      </w:r>
    </w:p>
    <w:p>
      <w:pPr>
        <w:numPr>
          <w:ilvl w:val="1"/>
          <w:numId w:val="1016"/>
        </w:numPr>
        <w:pStyle w:val="Compact"/>
      </w:pPr>
      <w:r>
        <w:t xml:space="preserve">Non-recyclable portion: 1.24 kg * (1 - 0.70) = 0.372 kg.</w:t>
      </w:r>
    </w:p>
    <w:p>
      <w:pPr>
        <w:numPr>
          <w:ilvl w:val="1"/>
          <w:numId w:val="1016"/>
        </w:numPr>
        <w:pStyle w:val="Compact"/>
      </w:pPr>
      <w:r>
        <w:t xml:space="preserve">Emissions from disposal: 0.372 kg * 1 kg CO2e/kg = 0.372 kg CO2e.</w:t>
      </w:r>
    </w:p>
    <w:p>
      <w:pPr>
        <w:numPr>
          <w:ilvl w:val="1"/>
          <w:numId w:val="1016"/>
        </w:numPr>
        <w:pStyle w:val="Compact"/>
      </w:pPr>
      <w:r>
        <w:t xml:space="preserve">Recycling often incurs an emission burden but can provide significant avoided emissions. For simplicity here, we consider the avoided emissions from recycling as a reduction in the primary production footprint or assume the emission factor for recycled material (as in the BOM) already accounts for this. If we only consider the disposal impact:</w:t>
      </w:r>
      <w:r>
        <w:t xml:space="preserve"> </w:t>
      </w:r>
      <w:r>
        <w:rPr>
          <w:bCs/>
          <w:b/>
        </w:rPr>
        <w:t xml:space="preserve">0.372 kg CO2e/unit</w:t>
      </w:r>
      <w:r>
        <w:t xml:space="preserve"> </w:t>
      </w:r>
      <w:r>
        <w:t xml:space="preserve">(Net impact could be lower with full circularity model).</w:t>
      </w:r>
    </w:p>
    <w:bookmarkEnd w:id="34"/>
    <w:bookmarkEnd w:id="35"/>
    <w:bookmarkStart w:id="36" w:name="total-product-carbon-footprint-summary"/>
    <w:p>
      <w:pPr>
        <w:pStyle w:val="Heading3"/>
      </w:pPr>
      <w:r>
        <w:t xml:space="preserve">3.4. Total Product Carbon Footprint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Description</w:t>
            </w:r>
          </w:p>
        </w:tc>
        <w:tc>
          <w:tcPr/>
          <w:p>
            <w:pPr>
              <w:pStyle w:val="Compact"/>
              <w:jc w:val="left"/>
            </w:pPr>
            <w:r>
              <w:t xml:space="preserve">Emissions (kg CO2e/unit)</w:t>
            </w:r>
          </w:p>
        </w:tc>
      </w:tr>
      <w:tr>
        <w:tc>
          <w:tcPr/>
          <w:p>
            <w:pPr>
              <w:pStyle w:val="Compact"/>
              <w:jc w:val="left"/>
            </w:pPr>
            <w:r>
              <w:rPr>
                <w:bCs/>
                <w:b/>
              </w:rPr>
              <w:t xml:space="preserve">Scope 1</w:t>
            </w:r>
          </w:p>
        </w:tc>
        <w:tc>
          <w:tcPr/>
          <w:p>
            <w:pPr>
              <w:pStyle w:val="Compact"/>
              <w:jc w:val="left"/>
            </w:pPr>
            <w:r>
              <w:t xml:space="preserve">Direct Emissions (e.g., company vehicles, on-site fuel combustion)</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Electricity for Manufacturing</w:t>
            </w:r>
          </w:p>
        </w:tc>
        <w:tc>
          <w:tcPr/>
          <w:p>
            <w:pPr>
              <w:pStyle w:val="Compact"/>
              <w:jc w:val="left"/>
            </w:pPr>
            <w:r>
              <w:t xml:space="preserve">2.45</w:t>
            </w:r>
          </w:p>
        </w:tc>
      </w:tr>
      <w:tr>
        <w:tc>
          <w:tcPr>
            <w:vMerge w:val="restart"/>
          </w:tcPr>
          <w:p>
            <w:pPr>
              <w:pStyle w:val="Compact"/>
              <w:jc w:val="left"/>
            </w:pPr>
            <w:r>
              <w:rPr>
                <w:bCs/>
                <w:b/>
              </w:rPr>
              <w:t xml:space="preserve">Scope 3</w:t>
            </w:r>
          </w:p>
        </w:tc>
        <w:tc>
          <w:tcPr/>
          <w:p>
            <w:pPr>
              <w:pStyle w:val="Compact"/>
              <w:jc w:val="left"/>
            </w:pPr>
            <w:r>
              <w:t xml:space="preserve">Purchased Goods &amp; Services (Materials)</w:t>
            </w:r>
          </w:p>
        </w:tc>
        <w:tc>
          <w:tcPr/>
          <w:p>
            <w:pPr>
              <w:pStyle w:val="Compact"/>
              <w:jc w:val="left"/>
            </w:pPr>
            <w:r>
              <w:t xml:space="preserve">7.06</w:t>
            </w:r>
          </w:p>
        </w:tc>
      </w:tr>
      <w:tr>
        <w:tc>
          <w:tcPr>
            <w:gridSpan w:val="1"/>
            <w:vMerge w:val="continue"/>
          </w:tcPr>
          <w:p>
            <w:pPr/>
          </w:p>
        </w:tc>
        <w:tc>
          <w:tcPr/>
          <w:p>
            <w:pPr>
              <w:pStyle w:val="Compact"/>
              <w:jc w:val="left"/>
            </w:pPr>
            <w:r>
              <w:t xml:space="preserve">Upstream Transportation &amp; Distribution</w:t>
            </w:r>
          </w:p>
        </w:tc>
        <w:tc>
          <w:tcPr/>
          <w:p>
            <w:pPr>
              <w:pStyle w:val="Compact"/>
              <w:jc w:val="left"/>
            </w:pPr>
            <w:r>
              <w:t xml:space="preserve">0.11</w:t>
            </w:r>
          </w:p>
        </w:tc>
      </w:tr>
      <w:tr>
        <w:tc>
          <w:tcPr>
            <w:gridSpan w:val="1"/>
            <w:vMerge w:val="continue"/>
          </w:tcPr>
          <w:p>
            <w:pPr/>
          </w:p>
        </w:tc>
        <w:tc>
          <w:tcPr/>
          <w:p>
            <w:pPr>
              <w:pStyle w:val="Compact"/>
              <w:jc w:val="left"/>
            </w:pPr>
            <w:r>
              <w:t xml:space="preserve">Downstream Transportation &amp; Distribution</w:t>
            </w:r>
          </w:p>
        </w:tc>
        <w:tc>
          <w:tcPr/>
          <w:p>
            <w:pPr>
              <w:pStyle w:val="Compact"/>
              <w:jc w:val="left"/>
            </w:pPr>
            <w:r>
              <w:t xml:space="preserve">0.08</w:t>
            </w:r>
          </w:p>
        </w:tc>
      </w:tr>
      <w:tr>
        <w:tc>
          <w:tcPr>
            <w:gridSpan w:val="1"/>
            <w:vMerge w:val="continue"/>
          </w:tcPr>
          <w:p>
            <w:pPr/>
          </w:p>
        </w:tc>
        <w:tc>
          <w:tcPr/>
          <w:p>
            <w:pPr>
              <w:pStyle w:val="Compact"/>
              <w:jc w:val="left"/>
            </w:pPr>
            <w:r>
              <w:t xml:space="preserve">Use of Sold Products</w:t>
            </w:r>
          </w:p>
        </w:tc>
        <w:tc>
          <w:tcPr/>
          <w:p>
            <w:pPr>
              <w:pStyle w:val="Compact"/>
              <w:jc w:val="left"/>
            </w:pPr>
            <w:r>
              <w:t xml:space="preserve">12.50</w:t>
            </w:r>
          </w:p>
        </w:tc>
      </w:tr>
      <w:tr>
        <w:tc>
          <w:tcPr/>
          <w:p>
            <w:pPr>
              <w:pStyle w:val="Compact"/>
            </w:pPr>
          </w:p>
        </w:tc>
        <w:tc>
          <w:tcPr/>
          <w:p>
            <w:pPr>
              <w:pStyle w:val="Compact"/>
              <w:jc w:val="left"/>
            </w:pPr>
            <w:r>
              <w:t xml:space="preserve">End-of-Life Treatment of Sold Products</w:t>
            </w:r>
          </w:p>
        </w:tc>
        <w:tc>
          <w:tcPr/>
          <w:p>
            <w:pPr>
              <w:pStyle w:val="Compact"/>
              <w:jc w:val="left"/>
            </w:pPr>
            <w:r>
              <w:t xml:space="preserve">0.37</w:t>
            </w:r>
          </w:p>
        </w:tc>
      </w:tr>
      <w:tr>
        <w:tc>
          <w:tcPr>
            <w:gridSpan w:val="2"/>
          </w:tcPr>
          <w:p>
            <w:pPr>
              <w:pStyle w:val="Compact"/>
              <w:jc w:val="right"/>
            </w:pPr>
            <w:r>
              <w:rPr>
                <w:bCs/>
                <w:b/>
              </w:rPr>
              <w:t xml:space="preserve">TOTAL PRODUCT CARBON FOOTPRINT (Cradle-to-Grave)</w:t>
            </w:r>
          </w:p>
        </w:tc>
        <w:tc>
          <w:tcPr/>
          <w:p>
            <w:pPr>
              <w:pStyle w:val="Compact"/>
              <w:jc w:val="left"/>
            </w:pPr>
            <w:r>
              <w:rPr>
                <w:bCs/>
                <w:b/>
              </w:rPr>
              <w:t xml:space="preserve">22.57</w:t>
            </w:r>
          </w:p>
        </w:tc>
      </w:tr>
    </w:tbl>
    <w:p>
      <w:r>
        <w:pict>
          <v:rect style="width:0;height:1.5pt" o:hralign="center" o:hrstd="t" o:hr="t"/>
        </w:pict>
      </w:r>
    </w:p>
    <w:bookmarkEnd w:id="36"/>
    <w:bookmarkEnd w:id="37"/>
    <w:bookmarkStart w:id="41" w:name="review-report-hotspots-and-reliability-1"/>
    <w:p>
      <w:pPr>
        <w:pStyle w:val="Heading2"/>
      </w:pPr>
      <w:r>
        <w:t xml:space="preserve">4. Review &amp; Report: Hotspots and Reliability</w:t>
      </w:r>
    </w:p>
    <w:bookmarkStart w:id="38" w:name="emission-hotspots"/>
    <w:p>
      <w:pPr>
        <w:pStyle w:val="Heading3"/>
      </w:pPr>
      <w:r>
        <w:t xml:space="preserve">4.1. Emission Hotspots</w:t>
      </w:r>
    </w:p>
    <w:p>
      <w:pPr>
        <w:pStyle w:val="FirstParagraph"/>
      </w:pPr>
      <w:r>
        <w:t xml:space="preserve">Based on the calculations, the primary emission hotspots for nihdhndvpj are:</w:t>
      </w:r>
    </w:p>
    <w:p>
      <w:pPr>
        <w:numPr>
          <w:ilvl w:val="0"/>
          <w:numId w:val="1017"/>
        </w:numPr>
        <w:pStyle w:val="Compact"/>
      </w:pPr>
      <w:r>
        <w:rPr>
          <w:bCs/>
          <w:b/>
        </w:rPr>
        <w:t xml:space="preserve">Use Phase (55.4%):</w:t>
      </w:r>
      <w:r>
        <w:t xml:space="preserve"> </w:t>
      </w:r>
      <w:r>
        <w:t xml:space="preserve">The energy consumption during the product\'s lifespan is the most significant contributor to the overall PCF, primarily due to the assumed 5-year lifespan and 10 kWh/year energy use, combined with the European grid electricity emission factor.</w:t>
      </w:r>
    </w:p>
    <w:p>
      <w:pPr>
        <w:numPr>
          <w:ilvl w:val="0"/>
          <w:numId w:val="1017"/>
        </w:numPr>
        <w:pStyle w:val="Compact"/>
      </w:pPr>
      <w:r>
        <w:rPr>
          <w:bCs/>
          <w:b/>
        </w:rPr>
        <w:t xml:space="preserve">Purchased Goods &amp; Services (Materials) (31.3%):</w:t>
      </w:r>
      <w:r>
        <w:t xml:space="preserve"> </w:t>
      </w:r>
      <w:r>
        <w:t xml:space="preserve">The raw materials, particularly Aluminum Casing, Circuit Board, and Lithium-Ion Battery, contribute substantially to the upstream footprint.</w:t>
      </w:r>
    </w:p>
    <w:p>
      <w:pPr>
        <w:numPr>
          <w:ilvl w:val="0"/>
          <w:numId w:val="1017"/>
        </w:numPr>
        <w:pStyle w:val="Compact"/>
      </w:pPr>
      <w:r>
        <w:rPr>
          <w:bCs/>
          <w:b/>
        </w:rPr>
        <w:t xml:space="preserve">Purchased Electricity (Manufacturing) (10.9%):</w:t>
      </w:r>
      <w:r>
        <w:t xml:space="preserve"> </w:t>
      </w:r>
      <w:r>
        <w:t xml:space="preserve">Despite 30% renewable energy usage, the remaining grid electricity for manufacturing in China still represents a notable portion.</w:t>
      </w:r>
    </w:p>
    <w:bookmarkEnd w:id="38"/>
    <w:bookmarkStart w:id="40" w:name="reliability-and-recommendations"/>
    <w:p>
      <w:pPr>
        <w:pStyle w:val="Heading3"/>
      </w:pPr>
      <w:r>
        <w:t xml:space="preserve">4.2. Reliability and Recommendations</w:t>
      </w:r>
    </w:p>
    <w:p>
      <w:pPr>
        <w:pStyle w:val="FirstParagraph"/>
      </w:pPr>
      <w:r>
        <w:t xml:space="preserve">The reliability of this PCF is good, relying on specific primary data where provided and robust secondary data for emission factors. However, it is important to note the assumptions made for placeholder parameters (e.g., specific transport distances, renewable energy percentage, energy in use) which directly influence the final figures. For enhanced accuracy, primary data should be collected for these specific parameters.</w:t>
      </w:r>
    </w:p>
    <w:bookmarkStart w:id="39" w:name="recommendations-for-reduction"/>
    <w:p>
      <w:pPr>
        <w:pStyle w:val="Heading4"/>
      </w:pPr>
      <w:r>
        <w:t xml:space="preserve">Recommendations for Reduction:</w:t>
      </w:r>
    </w:p>
    <w:p>
      <w:pPr>
        <w:numPr>
          <w:ilvl w:val="0"/>
          <w:numId w:val="1018"/>
        </w:numPr>
        <w:pStyle w:val="Compact"/>
      </w:pPr>
      <w:r>
        <w:rPr>
          <w:bCs/>
          <w:b/>
        </w:rPr>
        <w:t xml:space="preserve">Optimize Use Phase:</w:t>
      </w:r>
      <w:r>
        <w:t xml:space="preserve"> </w:t>
      </w:r>
      <w:r>
        <w:t xml:space="preserve">Focus on improving energy efficiency of nihdhndvpj to reduce consumption during its lifespan. Promote customer behavior that minimizes energy use. Explore possibilities for lower-carbon electricity sources for end-users.</w:t>
      </w:r>
    </w:p>
    <w:p>
      <w:pPr>
        <w:numPr>
          <w:ilvl w:val="0"/>
          <w:numId w:val="1018"/>
        </w:numPr>
        <w:pStyle w:val="Compact"/>
      </w:pPr>
      <w:r>
        <w:rPr>
          <w:bCs/>
          <w:b/>
        </w:rPr>
        <w:t xml:space="preserve">Material Decarbonization:</w:t>
      </w:r>
      <w:r>
        <w:t xml:space="preserve"> </w:t>
      </w:r>
      <w:r>
        <w:t xml:space="preserve">Investigate opportunities for using lower-carbon materials, increasing recycled content beyond the current plastic housing, and working with suppliers to reduce the footprint of high-impact components like aluminum and batteries.</w:t>
      </w:r>
    </w:p>
    <w:p>
      <w:pPr>
        <w:numPr>
          <w:ilvl w:val="0"/>
          <w:numId w:val="1018"/>
        </w:numPr>
        <w:pStyle w:val="Compact"/>
      </w:pPr>
      <w:r>
        <w:rPr>
          <w:bCs/>
          <w:b/>
        </w:rPr>
        <w:t xml:space="preserve">Increase Renewable Energy in Manufacturing:</w:t>
      </w:r>
      <w:r>
        <w:t xml:space="preserve"> </w:t>
      </w:r>
      <w:r>
        <w:t xml:space="preserve">Further increase the percentage of renewable energy used in giyjhykxso\'s manufacturing facility in China, potentially through on-site generation or purchasing certified renewable energy credits.</w:t>
      </w:r>
    </w:p>
    <w:p>
      <w:pPr>
        <w:numPr>
          <w:ilvl w:val="0"/>
          <w:numId w:val="1018"/>
        </w:numPr>
        <w:pStyle w:val="Compact"/>
      </w:pPr>
      <w:r>
        <w:rPr>
          <w:bCs/>
          <w:b/>
        </w:rPr>
        <w:t xml:space="preserve">Circular Economy Initiatives:</w:t>
      </w:r>
      <w:r>
        <w:t xml:space="preserve"> </w:t>
      </w:r>
      <w:r>
        <w:t xml:space="preserve">Enhance existing circular/take-back programs to maximize product lifespan, facilitate repair, and ensure high-quality recycling pathways, thereby reducing the burden of virgin material extraction and end-of-life disposal.</w:t>
      </w:r>
    </w:p>
    <w:p>
      <w:r>
        <w:pict>
          <v:rect style="width:0;height:1.5pt" o:hralign="center" o:hrstd="t" o:hr="t"/>
        </w:pict>
      </w:r>
    </w:p>
    <w:p>
      <w:pPr>
        <w:pStyle w:val="FirstParagraph"/>
      </w:pPr>
      <w:r>
        <w:t xml:space="preserve">Confidential - Internal Use Only | Page</w:t>
      </w:r>
      <w:r>
        <w:t xml:space="preserve"> </w:t>
      </w:r>
    </w:p>
    <w:bookmarkEnd w:id="39"/>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nihdhndvpj</dc:title>
  <dc:creator/>
  <dc:description>Detailed Product Carbon Footprint (PCF) analysis report for nihdhndvpj, conducted by giyjhykxso\'s Senior Sustainability Consultant uyjyxhzepm, adhering to GHG Protocol standards and 2026 LSR updates.</dc:description>
  <dc:language>en</dc:language>
  <cp:keywords/>
  <dcterms:created xsi:type="dcterms:W3CDTF">2026-05-30T15:53:53Z</dcterms:created>
  <dcterms:modified xsi:type="dcterms:W3CDTF">2026-05-30T15:53:53Z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