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ndvjvrlgdq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ndvjvrlgdq</w:t>
      </w:r>
    </w:p>
    <w:p>
      <w:pPr>
        <w:pStyle w:val="BodyText"/>
      </w:pPr>
      <w:r>
        <w:t xml:space="preserve">Company:</w:t>
      </w:r>
      <w:r>
        <w:t xml:space="preserve"> </w:t>
      </w:r>
      <w:r>
        <w:t xml:space="preserve">svrieqkoef</w:t>
      </w:r>
    </w:p>
    <w:p>
      <w:pPr>
        <w:pStyle w:val="BodyText"/>
      </w:pPr>
      <w:r>
        <w:t xml:space="preserve">Senior Sustainability Consultant:</w:t>
      </w:r>
      <w:r>
        <w:t xml:space="preserve"> </w:t>
      </w:r>
      <w:r>
        <w:t xml:space="preserve">rmotqyjywq</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specific operational details and future data refinements. Due to certain parameters being provided as literal placeholder strings, illustrative values have been used for calculations where specified.</w:t>
      </w:r>
    </w:p>
    <w:bookmarkEnd w:id="20"/>
    <w:bookmarkStart w:id="21" w:name="Xa87d010c1fd868336511b306fbd202996615f12"/>
    <w:p>
      <w:pPr>
        <w:pStyle w:val="Heading1"/>
      </w:pPr>
      <w:r>
        <w:t xml:space="preserve">Product Carbon Footprint Analysis Report</w:t>
      </w:r>
    </w:p>
    <w:p>
      <w:pPr>
        <w:pStyle w:val="FirstParagraph"/>
      </w:pPr>
      <w:r>
        <w:t xml:space="preserve">Product: ndvjvrlgdq</w:t>
      </w:r>
    </w:p>
    <w:p>
      <w:pPr>
        <w:pStyle w:val="BodyText"/>
      </w:pPr>
      <w:r>
        <w:t xml:space="preserve">Company: svrieqkoef</w:t>
      </w:r>
    </w:p>
    <w:p>
      <w:pPr>
        <w:pStyle w:val="BodyText"/>
      </w:pPr>
      <w:r>
        <w:t xml:space="preserve">Consultant: rmotqyjywq</w:t>
      </w:r>
    </w:p>
    <w:p>
      <w:pPr>
        <w:pStyle w:val="BodyText"/>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ndvjvrlgdq</w:t>
      </w:r>
      <w:r>
        <w:t xml:space="preserve">, manufactured by</w:t>
      </w:r>
      <w:r>
        <w:t xml:space="preserve"> </w:t>
      </w:r>
      <w:r>
        <w:t xml:space="preserve">svrieqkoef</w:t>
      </w:r>
      <w:r>
        <w:t xml:space="preserve">. The assessment was performed by</w:t>
      </w:r>
      <w:r>
        <w:t xml:space="preserve"> </w:t>
      </w:r>
      <w:r>
        <w:t xml:space="preserve">rmotqyjywq</w:t>
      </w:r>
      <w:r>
        <w:t xml:space="preserve">, Senior Sustainability Consultant, adhering strictly to the</w:t>
      </w:r>
      <w:r>
        <w:t xml:space="preserve"> </w:t>
      </w:r>
      <w:r>
        <w:t xml:space="preserve">GHG Protocol</w:t>
      </w:r>
      <w:r>
        <w:t xml:space="preserve"> </w:t>
      </w:r>
      <w:r>
        <w:t xml:space="preserve">standards, including the 2026 Land Sector and Removals (LSR) update and ensuring over 95% Scope 3 coverage. The analysis covers the lifecycle from \'factory_gate\' and aims to identify key emission hotspots across material acquisition, manufacturing, transport, use, and end-of-life phases. Due to several input parameters being provided as literal placeholder strings, illustrative data has been used for quantitative calculations, clearly highlighting where this applies. The primary goal is to provide a foundational understanding of the product\'s carbon intensity and pinpoint areas for decarbonization efforts.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followed the five-step methodology outlined by the GHG Protocol, adapted to include the latest 2026 LSR Standard updates for land use and removals. This approach ensures a comprehensive and standardized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declared functional unit for this PCF is</w:t>
      </w:r>
      <w:r>
        <w:t xml:space="preserve"> </w:t>
      </w:r>
      <w:r>
        <w:t xml:space="preserve">1.0 unit</w:t>
      </w:r>
      <w:r>
        <w:t xml:space="preserve"> </w:t>
      </w:r>
      <w:r>
        <w:t xml:space="preserve">of ndvjvrlgdq. This serves as the reference basis for quantifying all inputs and outputs.</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t xml:space="preserve">factory_gate</w:t>
      </w:r>
      <w:r>
        <w:t xml:space="preserve">. This includes all processes from raw material extraction (cradle) up to the point where the finished product leaves the manufacturing facility. It implicitly covers upstream emissions related to material production and inbound logistics. Downstream phases (transport to customer, use phase, and end-of-life) are also included in the overall PCF but are separated for clarity.</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to the functional unit based on mass, economic value, or other relevant physical relationships, following GHG Protocol guidelines to avoid double-counting and ensure representativeness.</w:t>
      </w:r>
    </w:p>
    <w:p>
      <w:pPr>
        <w:numPr>
          <w:ilvl w:val="0"/>
          <w:numId w:val="1001"/>
        </w:numPr>
        <w:pStyle w:val="Compact"/>
      </w:pPr>
      <w:r>
        <w:rPr>
          <w:bCs/>
          <w:b/>
        </w:rPr>
        <w:t xml:space="preserve">Accounting Standard:</w:t>
      </w:r>
      <w:r>
        <w:t xml:space="preserve"> </w:t>
      </w:r>
      <w:r>
        <w:t xml:space="preserve">The entire analysis explicitly adheres to the</w:t>
      </w:r>
      <w:r>
        <w:t xml:space="preserve"> </w:t>
      </w:r>
      <w:r>
        <w:t xml:space="preserve">GHG Protocol</w:t>
      </w:r>
      <w:r>
        <w:t xml:space="preserve"> </w:t>
      </w:r>
      <w:r>
        <w:t xml:space="preserve">Product Standard, ensuring consistent and credible reporting. This includes categorization of emissions into Scope 1 (direct emissions from owned or controlled sources), Scope 2 (indirect emissions from the generation of purchased energy), and Scope 3 (all other indirect emissions that occur in a company’s value chain).</w:t>
      </w:r>
    </w:p>
    <w:bookmarkEnd w:id="23"/>
    <w:bookmarkStart w:id="24" w:name="map-lifecycle-lci-inventory-stages"/>
    <w:p>
      <w:pPr>
        <w:pStyle w:val="Heading3"/>
      </w:pPr>
      <w:r>
        <w:t xml:space="preserve">1.2. Map Lifecycle (LCI Inventory Stages)</w:t>
      </w:r>
    </w:p>
    <w:p>
      <w:pPr>
        <w:pStyle w:val="FirstParagraph"/>
      </w:pPr>
      <w:r>
        <w:t xml:space="preserve">The lifecycle of ndvjvrlgdq was mapped into distinct stages to comprehensively capture all relevant emissions. For the purpose of calculation, where specific input data was provided as placeholder strings (e.g., `joggoohe`, `Select Mode`), illustrative data has been used, and this is explicitly noted.</w:t>
      </w:r>
    </w:p>
    <w:p>
      <w:pPr>
        <w:pStyle w:val="BodyText"/>
      </w:pPr>
      <w:r>
        <w:t xml:space="preserve">The key stages include:</w:t>
      </w:r>
    </w:p>
    <w:p>
      <w:pPr>
        <w:numPr>
          <w:ilvl w:val="0"/>
          <w:numId w:val="1003"/>
        </w:numPr>
        <w:pStyle w:val="Compact"/>
      </w:pPr>
      <w:r>
        <w:rPr>
          <w:bCs/>
          <w:b/>
        </w:rPr>
        <w:t xml:space="preserve">Material Acquisition &amp; Pre-processing:</w:t>
      </w:r>
      <w:r>
        <w:t xml:space="preserve"> </w:t>
      </w:r>
      <w:r>
        <w:t xml:space="preserve">Extraction, cultivation, processing, and refining of raw materials.</w:t>
      </w:r>
    </w:p>
    <w:p>
      <w:pPr>
        <w:numPr>
          <w:ilvl w:val="0"/>
          <w:numId w:val="1003"/>
        </w:numPr>
        <w:pStyle w:val="Compact"/>
      </w:pPr>
      <w:r>
        <w:rPr>
          <w:bCs/>
          <w:b/>
        </w:rPr>
        <w:t xml:space="preserve">Manufacturing/Production:</w:t>
      </w:r>
      <w:r>
        <w:t xml:space="preserve"> </w:t>
      </w:r>
      <w:r>
        <w:t xml:space="preserve">Energy consumption, waste generation, and direct emissions at the svrieqkoef production facility in China.</w:t>
      </w:r>
    </w:p>
    <w:p>
      <w:pPr>
        <w:numPr>
          <w:ilvl w:val="0"/>
          <w:numId w:val="1003"/>
        </w:numPr>
        <w:pStyle w:val="Compact"/>
      </w:pPr>
      <w:r>
        <w:rPr>
          <w:bCs/>
          <w:b/>
        </w:rPr>
        <w:t xml:space="preserve">Distribution &amp; Transport:</w:t>
      </w:r>
      <w:r>
        <w:t xml:space="preserve"> </w:t>
      </w:r>
      <w:r>
        <w:t xml:space="preserve">Logistics from suppliers to the factory (inbound) and from the factory to the customer (outbound).</w:t>
      </w:r>
    </w:p>
    <w:p>
      <w:pPr>
        <w:numPr>
          <w:ilvl w:val="0"/>
          <w:numId w:val="1003"/>
        </w:numPr>
        <w:pStyle w:val="Compact"/>
      </w:pPr>
      <w:r>
        <w:rPr>
          <w:bCs/>
          <w:b/>
        </w:rPr>
        <w:t xml:space="preserve">Use Phase:</w:t>
      </w:r>
      <w:r>
        <w:t xml:space="preserve"> </w:t>
      </w:r>
      <w:r>
        <w:t xml:space="preserve">Energy consumption and other impacts during the product\'s active lifespan.</w:t>
      </w:r>
    </w:p>
    <w:p>
      <w:pPr>
        <w:numPr>
          <w:ilvl w:val="0"/>
          <w:numId w:val="1003"/>
        </w:numPr>
        <w:pStyle w:val="Compact"/>
      </w:pPr>
      <w:r>
        <w:rPr>
          <w:bCs/>
          <w:b/>
        </w:rPr>
        <w:t xml:space="preserve">End-of-Life (EoL):</w:t>
      </w:r>
      <w:r>
        <w:t xml:space="preserve"> </w:t>
      </w:r>
      <w:r>
        <w:t xml:space="preserve">Disposal, recycling, or recovery processes at the end of the product\'s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a combination of primary and secondary data sources. Primary data would ideally be company-specific (e.g., exact energy bills, material procurement data). Secondary data, where primary data is unavailable or for generic processes, is sourced from recognized databases like Ecoinvent and DEFRA.</w:t>
      </w:r>
    </w:p>
    <w:bookmarkStart w:id="25" w:name="key-data-inputs"/>
    <w:p>
      <w:pPr>
        <w:pStyle w:val="Heading4"/>
      </w:pPr>
      <w:r>
        <w:t xml:space="preserve">Key Data Inputs:</w:t>
      </w:r>
    </w:p>
    <w:p>
      <w:pPr>
        <w:numPr>
          <w:ilvl w:val="0"/>
          <w:numId w:val="1004"/>
        </w:numPr>
        <w:pStyle w:val="Compact"/>
      </w:pPr>
      <w:r>
        <w:rPr>
          <w:bCs/>
          <w:b/>
        </w:rPr>
        <w:t xml:space="preserve">Detailed Bill of Materials (BOM):</w:t>
      </w:r>
      <w:r>
        <w:t xml:space="preserve"> </w:t>
      </w:r>
      <w:r>
        <w:t xml:space="preserve">The provided BOM parameter was</w:t>
      </w:r>
      <w:r>
        <w:t xml:space="preserve"> </w:t>
      </w:r>
      <w:r>
        <w:t xml:space="preserve">joggoohe</w:t>
      </w:r>
      <w:r>
        <w:t xml:space="preserve">. As this is a literal placeholder string and not structured data, an illustrative BOM for a generic electronic product has been developed to demonstrate the calculation methodology for material impact. Actual calculations would require a parseable, detailed BOM. The illustrative BOM provides ID, Description, Category, Process, Qty, Unit, Emission Factor (kg CO2e/unit), and Total Carbon (kg CO2e).</w:t>
      </w:r>
    </w:p>
    <w:p>
      <w:pPr>
        <w:numPr>
          <w:ilvl w:val="0"/>
          <w:numId w:val="1004"/>
        </w:numPr>
        <w:pStyle w:val="Compact"/>
      </w:pPr>
      <w:r>
        <w:rPr>
          <w:bCs/>
          <w:b/>
        </w:rPr>
        <w:t xml:space="preserve">Transport Logistics:</w:t>
      </w:r>
    </w:p>
    <w:p>
      <w:pPr>
        <w:numPr>
          <w:ilvl w:val="1"/>
          <w:numId w:val="1005"/>
        </w:numPr>
        <w:pStyle w:val="Compact"/>
      </w:pPr>
      <w:r>
        <w:t xml:space="preserve">Transport Mode:</w:t>
      </w:r>
      <w:r>
        <w:t xml:space="preserve"> </w:t>
      </w:r>
      <w:r>
        <w:t xml:space="preserve">Select Mode</w:t>
      </w:r>
      <w:r>
        <w:t xml:space="preserve"> </w:t>
      </w:r>
      <w:r>
        <w:t xml:space="preserve">(Illustrative: Ocean Freight for primary transport, Road for last-mile)</w:t>
      </w:r>
    </w:p>
    <w:p>
      <w:pPr>
        <w:numPr>
          <w:ilvl w:val="1"/>
          <w:numId w:val="1005"/>
        </w:numPr>
        <w:pStyle w:val="Compact"/>
      </w:pPr>
      <w:r>
        <w:t xml:space="preserve">Transport Distance:</w:t>
      </w:r>
      <w:r>
        <w:t xml:space="preserve"> </w:t>
      </w:r>
      <w:r>
        <w:t xml:space="preserve">fuirdjewfo</w:t>
      </w:r>
      <w:r>
        <w:t xml:space="preserve"> </w:t>
      </w:r>
      <w:r>
        <w:t xml:space="preserve">(Illustrative: 10,000 km Ocean Freight, 500 km Road)</w:t>
      </w:r>
    </w:p>
    <w:p>
      <w:pPr>
        <w:numPr>
          <w:ilvl w:val="1"/>
          <w:numId w:val="1005"/>
        </w:numPr>
        <w:pStyle w:val="Compact"/>
      </w:pPr>
      <w:r>
        <w:t xml:space="preserve">Last-Mile Delivery Channel:</w:t>
      </w:r>
      <w:r>
        <w:t xml:space="preserve"> </w:t>
      </w:r>
      <w:r>
        <w:t xml:space="preserve">Delivery Type</w:t>
      </w:r>
      <w:r>
        <w:t xml:space="preserve"> </w:t>
      </w:r>
      <w:r>
        <w:t xml:space="preserve">(Illustrative: Parcel delivery by road)</w:t>
      </w:r>
    </w:p>
    <w:p>
      <w:pPr>
        <w:numPr>
          <w:ilvl w:val="0"/>
          <w:numId w:val="1004"/>
        </w:numPr>
        <w:pStyle w:val="Compact"/>
      </w:pPr>
      <w:r>
        <w:rPr>
          <w:bCs/>
          <w:b/>
        </w:rPr>
        <w:t xml:space="preserve">Production Energy Customization:</w:t>
      </w:r>
    </w:p>
    <w:p>
      <w:pPr>
        <w:numPr>
          <w:ilvl w:val="1"/>
          <w:numId w:val="1006"/>
        </w:numPr>
        <w:pStyle w:val="Compact"/>
      </w:pPr>
      <w:r>
        <w:t xml:space="preserve">Renewable Energy Usage:</w:t>
      </w:r>
      <w:r>
        <w:t xml:space="preserve"> </w:t>
      </w:r>
      <w:r>
        <w:t xml:space="preserve">gnwollweqy</w:t>
      </w:r>
      <w:r>
        <w:t xml:space="preserve"> </w:t>
      </w:r>
      <w:r>
        <w:t xml:space="preserve">(Illustrative: 50% renewable)</w:t>
      </w:r>
    </w:p>
    <w:p>
      <w:pPr>
        <w:numPr>
          <w:ilvl w:val="1"/>
          <w:numId w:val="1006"/>
        </w:numPr>
        <w:pStyle w:val="Compact"/>
      </w:pPr>
      <w:r>
        <w:t xml:space="preserve">Energy Intensity (kWh/unit):</w:t>
      </w:r>
      <w:r>
        <w:t xml:space="preserve"> </w:t>
      </w:r>
      <w:r>
        <w:t xml:space="preserve">hueuttopoo</w:t>
      </w:r>
      <w:r>
        <w:t xml:space="preserve"> </w:t>
      </w:r>
      <w:r>
        <w:t xml:space="preserve">(Illustrative: 15 kWh/unit)</w:t>
      </w:r>
    </w:p>
    <w:p>
      <w:pPr>
        <w:numPr>
          <w:ilvl w:val="0"/>
          <w:numId w:val="1004"/>
        </w:numPr>
        <w:pStyle w:val="Compact"/>
      </w:pPr>
      <w:r>
        <w:rPr>
          <w:bCs/>
          <w:b/>
        </w:rPr>
        <w:t xml:space="preserve">Use Phase Durability &amp; Consumption:</w:t>
      </w:r>
    </w:p>
    <w:p>
      <w:pPr>
        <w:numPr>
          <w:ilvl w:val="1"/>
          <w:numId w:val="1007"/>
        </w:numPr>
        <w:pStyle w:val="Compact"/>
      </w:pPr>
      <w:r>
        <w:t xml:space="preserve">Product Lifespan:</w:t>
      </w:r>
      <w:r>
        <w:t xml:space="preserve"> </w:t>
      </w:r>
      <w:r>
        <w:t xml:space="preserve">ygonlsllyt</w:t>
      </w:r>
      <w:r>
        <w:t xml:space="preserve"> </w:t>
      </w:r>
      <w:r>
        <w:t xml:space="preserve">(Illustrative: 5 years)</w:t>
      </w:r>
    </w:p>
    <w:p>
      <w:pPr>
        <w:numPr>
          <w:ilvl w:val="1"/>
          <w:numId w:val="1007"/>
        </w:numPr>
        <w:pStyle w:val="Compact"/>
      </w:pPr>
      <w:r>
        <w:t xml:space="preserve">Energy Consumption in Use:</w:t>
      </w:r>
      <w:r>
        <w:t xml:space="preserve"> </w:t>
      </w:r>
      <w:r>
        <w:t xml:space="preserve">pseuwvnyxe</w:t>
      </w:r>
      <w:r>
        <w:t xml:space="preserve"> </w:t>
      </w:r>
      <w:r>
        <w:t xml:space="preserve">(Illustrative: 20 kWh/year)</w:t>
      </w:r>
    </w:p>
    <w:p>
      <w:pPr>
        <w:numPr>
          <w:ilvl w:val="0"/>
          <w:numId w:val="1004"/>
        </w:numPr>
        <w:pStyle w:val="Compact"/>
      </w:pPr>
      <w:r>
        <w:rPr>
          <w:bCs/>
          <w:b/>
        </w:rPr>
        <w:t xml:space="preserve">End-of-Life (EoL) Scenarios:</w:t>
      </w:r>
    </w:p>
    <w:p>
      <w:pPr>
        <w:numPr>
          <w:ilvl w:val="1"/>
          <w:numId w:val="1008"/>
        </w:numPr>
        <w:pStyle w:val="Compact"/>
      </w:pPr>
      <w:r>
        <w:t xml:space="preserve">Recyclability Percentage:</w:t>
      </w:r>
      <w:r>
        <w:t xml:space="preserve"> </w:t>
      </w:r>
      <w:r>
        <w:t xml:space="preserve">tuzmztgmgv</w:t>
      </w:r>
      <w:r>
        <w:t xml:space="preserve"> </w:t>
      </w:r>
      <w:r>
        <w:t xml:space="preserve">(Illustrative: 70%)</w:t>
      </w:r>
    </w:p>
    <w:p>
      <w:pPr>
        <w:numPr>
          <w:ilvl w:val="1"/>
          <w:numId w:val="1008"/>
        </w:numPr>
        <w:pStyle w:val="Compact"/>
      </w:pPr>
      <w:r>
        <w:t xml:space="preserve">Circular/Take-back Programs:</w:t>
      </w:r>
      <w:r>
        <w:t xml:space="preserve"> </w:t>
      </w:r>
      <w:r>
        <w:t xml:space="preserve">vydgztxoln</w:t>
      </w:r>
      <w:r>
        <w:t xml:space="preserve"> </w:t>
      </w:r>
      <w:r>
        <w:t xml:space="preserve">(Illustrative: Yes, regional take-back program available)</w:t>
      </w:r>
    </w:p>
    <w:p>
      <w:r>
        <w:pict>
          <v:rect style="width:0;height:1.5pt" o:hralign="center" o:hrstd="t" o:hr="t"/>
        </w:pict>
      </w:r>
    </w:p>
    <w:bookmarkEnd w:id="25"/>
    <w:bookmarkEnd w:id="26"/>
    <w:bookmarkEnd w:id="27"/>
    <w:bookmarkStart w:id="33" w:name="X22c650838aa2d3745b5eb40778a46fe7e9fb19b"/>
    <w:p>
      <w:pPr>
        <w:pStyle w:val="Heading2"/>
      </w:pPr>
      <w:r>
        <w:t xml:space="preserve">2. Detailed Lifecycle Inventory and Data Input</w:t>
      </w:r>
    </w:p>
    <w:bookmarkStart w:id="28" w:name="X1198c8af25dd1a2ebffa686809674f976343a37"/>
    <w:p>
      <w:pPr>
        <w:pStyle w:val="Heading3"/>
      </w:pPr>
      <w:r>
        <w:t xml:space="preserve">2.1. Material Acquisition &amp; Pre-processing (Scope 3 - Upstream)</w:t>
      </w:r>
    </w:p>
    <w:p>
      <w:pPr>
        <w:pStyle w:val="FirstParagraph"/>
      </w:pPr>
      <w:r>
        <w:t xml:space="preserve">The following illustrative Bill of Materials (BOM) is used for calculation purposes, acknowledging that the provided BOM parameter `joggoohe` was a placeholder string. Emission factors are representative of typical values from Ecoinvent/DEFRA databases for manufacturing these components.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 (illustrative)</w:t>
            </w:r>
          </w:p>
        </w:tc>
        <w:tc>
          <w:tcPr/>
          <w:p>
            <w:pPr>
              <w:pStyle w:val="Compact"/>
              <w:jc w:val="left"/>
            </w:pPr>
            <w:r>
              <w:t xml:space="preserve">5.0</w:t>
            </w:r>
          </w:p>
        </w:tc>
      </w:tr>
      <w:tr>
        <w:tc>
          <w:tcPr/>
          <w:p>
            <w:pPr>
              <w:pStyle w:val="Compact"/>
              <w:jc w:val="left"/>
            </w:pPr>
            <w:r>
              <w:t xml:space="preserve">M003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set</w:t>
            </w:r>
          </w:p>
        </w:tc>
        <w:tc>
          <w:tcPr/>
          <w:p>
            <w:pPr>
              <w:pStyle w:val="Compact"/>
              <w:jc w:val="left"/>
            </w:pPr>
            <w:r>
              <w:t xml:space="preserve">15.0 (illustrative)</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t xml:space="preserve">Total Material Carbon Impact:</w:t>
            </w:r>
          </w:p>
        </w:tc>
        <w:tc>
          <w:tcPr/>
          <w:p>
            <w:pPr>
              <w:pStyle w:val="Compact"/>
              <w:jc w:val="left"/>
            </w:pPr>
          </w:p>
        </w:tc>
      </w:tr>
    </w:tbl>
    <w:bookmarkEnd w:id="28"/>
    <w:bookmarkStart w:id="29" w:name="manufacturingproduction-phase-scope-1-2"/>
    <w:p>
      <w:pPr>
        <w:pStyle w:val="Heading3"/>
      </w:pPr>
      <w:r>
        <w:t xml:space="preserve">2.2. Manufacturing/Production Phase (Scope 1 &amp; 2)</w:t>
      </w:r>
    </w:p>
    <w:p>
      <w:pPr>
        <w:pStyle w:val="FirstParagraph"/>
      </w:pPr>
      <w:r>
        <w:t xml:space="preserve">Emissions from the production of ndvjvrlgdq in China at the svrieqkoef facility.</w:t>
      </w:r>
    </w:p>
    <w:p>
      <w:pPr>
        <w:numPr>
          <w:ilvl w:val="0"/>
          <w:numId w:val="1009"/>
        </w:numPr>
        <w:pStyle w:val="Compact"/>
      </w:pPr>
      <w:r>
        <w:t xml:space="preserve">Energy Intensity (kWh/unit):</w:t>
      </w:r>
      <w:r>
        <w:t xml:space="preserve"> </w:t>
      </w:r>
      <w:r>
        <w:t xml:space="preserve">15 kWh/unit</w:t>
      </w:r>
      <w:r>
        <w:t xml:space="preserve"> </w:t>
      </w:r>
      <w:r>
        <w:t xml:space="preserve">(Illustrative, based on `hueuttopoo`)</w:t>
      </w:r>
    </w:p>
    <w:p>
      <w:pPr>
        <w:numPr>
          <w:ilvl w:val="0"/>
          <w:numId w:val="1009"/>
        </w:numPr>
        <w:pStyle w:val="Compact"/>
      </w:pPr>
      <w:r>
        <w:t xml:space="preserve">Renewable Energy Usage:</w:t>
      </w:r>
      <w:r>
        <w:t xml:space="preserve"> </w:t>
      </w:r>
      <w:r>
        <w:t xml:space="preserve">50%</w:t>
      </w:r>
      <w:r>
        <w:t xml:space="preserve"> </w:t>
      </w:r>
      <w:r>
        <w:t xml:space="preserve">(Illustrative, based on `gnwollweqy`)</w:t>
      </w:r>
    </w:p>
    <w:p>
      <w:pPr>
        <w:numPr>
          <w:ilvl w:val="0"/>
          <w:numId w:val="1009"/>
        </w:numPr>
        <w:pStyle w:val="Compact"/>
      </w:pPr>
      <w:r>
        <w:t xml:space="preserve">Grid Emission Factor (China, average): 0.65 kg CO2e/kWh (Source: IEA, MEE China 2023, Ecoinvent)</w:t>
      </w:r>
    </w:p>
    <w:p>
      <w:pPr>
        <w:numPr>
          <w:ilvl w:val="0"/>
          <w:numId w:val="1009"/>
        </w:numPr>
        <w:pStyle w:val="Compact"/>
      </w:pPr>
      <w:r>
        <w:t xml:space="preserve">Renewable Energy Emission Factor: 0.0 kg CO2e/kWh (assuming certified renewables)</w:t>
      </w:r>
    </w:p>
    <w:bookmarkEnd w:id="29"/>
    <w:bookmarkStart w:id="30" w:name="Xe08515ad84b4b4f8f5f57cfcf366486c343ebb4"/>
    <w:p>
      <w:pPr>
        <w:pStyle w:val="Heading3"/>
      </w:pPr>
      <w:r>
        <w:t xml:space="preserve">2.3. Transport Phase (Scope 3 - Upstream &amp; Downstream)</w:t>
      </w:r>
    </w:p>
    <w:p>
      <w:pPr>
        <w:pStyle w:val="FirstParagraph"/>
      </w:pPr>
      <w:r>
        <w:t xml:space="preserve">Transportation impacts for inbound materials (Europe Focused supply chain) and outbound finished product distribution.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 (Illustrative: `Select Mode`)</w:t>
            </w:r>
          </w:p>
        </w:tc>
        <w:tc>
          <w:tcPr/>
          <w:p>
            <w:pPr>
              <w:pStyle w:val="Compact"/>
              <w:jc w:val="left"/>
            </w:pPr>
            <w:r>
              <w:t xml:space="preserve">Distance (Illustrative: `fuirdjewfo`)</w:t>
            </w:r>
          </w:p>
        </w:tc>
        <w:tc>
          <w:tcPr/>
          <w:p>
            <w:pPr>
              <w:pStyle w:val="Compact"/>
              <w:jc w:val="left"/>
            </w:pPr>
            <w:r>
              <w:t xml:space="preserve">Unit</w:t>
            </w:r>
          </w:p>
        </w:tc>
        <w:tc>
          <w:tcPr/>
          <w:p>
            <w:pPr>
              <w:pStyle w:val="Compact"/>
              <w:jc w:val="left"/>
            </w:pPr>
            <w:r>
              <w:t xml:space="preserve">Emission Factor (kg CO2e/tkm)</w:t>
            </w:r>
          </w:p>
        </w:tc>
        <w:tc>
          <w:tcPr/>
          <w:p>
            <w:pPr>
              <w:pStyle w:val="Compact"/>
              <w:jc w:val="left"/>
            </w:pPr>
            <w:r>
              <w:t xml:space="preserve">Product Weight (kg/unit)</w:t>
            </w:r>
          </w:p>
        </w:tc>
        <w:tc>
          <w:tcPr/>
          <w:p>
            <w:pPr>
              <w:pStyle w:val="Compact"/>
              <w:jc w:val="left"/>
            </w:pPr>
            <w:r>
              <w:t xml:space="preserve">Total Carbon (kg CO2e/unit)</w:t>
            </w:r>
          </w:p>
        </w:tc>
      </w:tr>
      <w:tr>
        <w:tc>
          <w:tcPr/>
          <w:p>
            <w:pPr>
              <w:pStyle w:val="Compact"/>
              <w:jc w:val="left"/>
            </w:pPr>
            <w:r>
              <w:t xml:space="preserve">Inbound Logistics (Europe to China)</w:t>
            </w:r>
          </w:p>
        </w:tc>
        <w:tc>
          <w:tcPr/>
          <w:p>
            <w:pPr>
              <w:pStyle w:val="Compact"/>
              <w:jc w:val="left"/>
            </w:pPr>
            <w:r>
              <w:t xml:space="preserve">Ocean Freight (Container Ship)</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0.010 (average)</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Last-Mile Delivery (China to Customer)</w:t>
            </w:r>
          </w:p>
        </w:tc>
        <w:tc>
          <w:tcPr/>
          <w:p>
            <w:pPr>
              <w:pStyle w:val="Compact"/>
              <w:jc w:val="left"/>
            </w:pPr>
            <w:r>
              <w:t xml:space="preserve">Road (Light Commercial Vehicle)</w:t>
            </w:r>
          </w:p>
        </w:tc>
        <w:tc>
          <w:tcPr/>
          <w:p>
            <w:pPr>
              <w:pStyle w:val="Compact"/>
              <w:jc w:val="left"/>
            </w:pPr>
            <w:r>
              <w:t xml:space="preserve">500</w:t>
            </w:r>
          </w:p>
        </w:tc>
        <w:tc>
          <w:tcPr/>
          <w:p>
            <w:pPr>
              <w:pStyle w:val="Compact"/>
              <w:jc w:val="left"/>
            </w:pPr>
            <w:r>
              <w:t xml:space="preserve">km</w:t>
            </w:r>
          </w:p>
        </w:tc>
        <w:tc>
          <w:tcPr/>
          <w:p>
            <w:pPr>
              <w:pStyle w:val="Compact"/>
              <w:jc w:val="left"/>
            </w:pPr>
            <w:r>
              <w:t xml:space="preserve">0.150 (average)</w:t>
            </w:r>
          </w:p>
        </w:tc>
        <w:tc>
          <w:tcPr/>
          <w:p>
            <w:pPr>
              <w:pStyle w:val="Compact"/>
              <w:jc w:val="left"/>
            </w:pPr>
            <w:r>
              <w:t xml:space="preserve">1.5</w:t>
            </w:r>
          </w:p>
        </w:tc>
        <w:tc>
          <w:tcPr/>
          <w:p>
            <w:pPr>
              <w:pStyle w:val="Compact"/>
              <w:jc w:val="left"/>
            </w:pPr>
            <w:r>
              <w:t xml:space="preserve">112.5</w:t>
            </w:r>
          </w:p>
        </w:tc>
      </w:tr>
      <w:tr>
        <w:tc>
          <w:tcPr>
            <w:gridSpan w:val="6"/>
          </w:tcPr>
          <w:p>
            <w:pPr>
              <w:pStyle w:val="Compact"/>
              <w:jc w:val="right"/>
            </w:pPr>
            <w:r>
              <w:t xml:space="preserve">Total Transport Carbon Impact:</w:t>
            </w:r>
          </w:p>
        </w:tc>
        <w:tc>
          <w:tcPr/>
          <w:p>
            <w:pPr>
              <w:pStyle w:val="Compact"/>
              <w:jc w:val="left"/>
            </w:pPr>
          </w:p>
        </w:tc>
      </w:tr>
    </w:tbl>
    <w:bookmarkEnd w:id="30"/>
    <w:bookmarkStart w:id="31" w:name="use-phase-scope-3---downstream"/>
    <w:p>
      <w:pPr>
        <w:pStyle w:val="Heading3"/>
      </w:pPr>
      <w:r>
        <w:t xml:space="preserve">2.4. Use Phase (Scope 3 - Downstream)</w:t>
      </w:r>
    </w:p>
    <w:p>
      <w:pPr>
        <w:pStyle w:val="FirstParagraph"/>
      </w:pPr>
      <w:r>
        <w:t xml:space="preserve">Energy consumption during the product\'s lifespan, based on provided parameters.</w:t>
      </w:r>
    </w:p>
    <w:p>
      <w:pPr>
        <w:numPr>
          <w:ilvl w:val="0"/>
          <w:numId w:val="1010"/>
        </w:numPr>
        <w:pStyle w:val="Compact"/>
      </w:pPr>
      <w:r>
        <w:t xml:space="preserve">Product Lifespan:</w:t>
      </w:r>
      <w:r>
        <w:t xml:space="preserve"> </w:t>
      </w:r>
      <w:r>
        <w:t xml:space="preserve">5 years</w:t>
      </w:r>
      <w:r>
        <w:t xml:space="preserve"> </w:t>
      </w:r>
      <w:r>
        <w:t xml:space="preserve">(Illustrative, based on `ygonlsllyt`)</w:t>
      </w:r>
    </w:p>
    <w:p>
      <w:pPr>
        <w:numPr>
          <w:ilvl w:val="0"/>
          <w:numId w:val="1010"/>
        </w:numPr>
        <w:pStyle w:val="Compact"/>
      </w:pPr>
      <w:r>
        <w:t xml:space="preserve">Energy Consumption in Use:</w:t>
      </w:r>
      <w:r>
        <w:t xml:space="preserve"> </w:t>
      </w:r>
      <w:r>
        <w:t xml:space="preserve">20 kWh/year</w:t>
      </w:r>
      <w:r>
        <w:t xml:space="preserve"> </w:t>
      </w:r>
      <w:r>
        <w:t xml:space="preserve">(Illustrative, based on `pseuwvnyxe`)</w:t>
      </w:r>
    </w:p>
    <w:p>
      <w:pPr>
        <w:numPr>
          <w:ilvl w:val="0"/>
          <w:numId w:val="1010"/>
        </w:numPr>
        <w:pStyle w:val="Compact"/>
      </w:pPr>
      <w:r>
        <w:t xml:space="preserve">Electricity Emission Factor (Global average for typical consumer use): 0.4 kg CO2e/kWh</w:t>
      </w:r>
    </w:p>
    <w:bookmarkEnd w:id="31"/>
    <w:bookmarkStart w:id="32" w:name="X92fbc61eed99b9d9aafbebcbbd2c7ad7660f7e4"/>
    <w:p>
      <w:pPr>
        <w:pStyle w:val="Heading3"/>
      </w:pPr>
      <w:r>
        <w:t xml:space="preserve">2.5. End-of-Life (EoL) Phase (Scope 3 - Downstream)</w:t>
      </w:r>
    </w:p>
    <w:p>
      <w:pPr>
        <w:pStyle w:val="FirstParagraph"/>
      </w:pPr>
      <w:r>
        <w:t xml:space="preserve">Impacts associated with the disposal and potential recycling of ndvjvrlgdq.</w:t>
      </w:r>
    </w:p>
    <w:p>
      <w:pPr>
        <w:numPr>
          <w:ilvl w:val="0"/>
          <w:numId w:val="1011"/>
        </w:numPr>
        <w:pStyle w:val="Compact"/>
      </w:pPr>
      <w:r>
        <w:t xml:space="preserve">Recyclability Percentage:</w:t>
      </w:r>
      <w:r>
        <w:t xml:space="preserve"> </w:t>
      </w:r>
      <w:r>
        <w:t xml:space="preserve">70%</w:t>
      </w:r>
      <w:r>
        <w:t xml:space="preserve"> </w:t>
      </w:r>
      <w:r>
        <w:t xml:space="preserve">(Illustrative, based on `tuzmztgmgv`)</w:t>
      </w:r>
    </w:p>
    <w:p>
      <w:pPr>
        <w:numPr>
          <w:ilvl w:val="0"/>
          <w:numId w:val="1011"/>
        </w:numPr>
        <w:pStyle w:val="Compact"/>
      </w:pPr>
      <w:r>
        <w:t xml:space="preserve">Circular/Take-back Programs:</w:t>
      </w:r>
      <w:r>
        <w:t xml:space="preserve"> </w:t>
      </w:r>
      <w:r>
        <w:t xml:space="preserve">Yes, regional take-back program available</w:t>
      </w:r>
      <w:r>
        <w:t xml:space="preserve"> </w:t>
      </w:r>
      <w:r>
        <w:t xml:space="preserve">(Illustrative, based on `vydgztxoln`)</w:t>
      </w:r>
    </w:p>
    <w:p>
      <w:pPr>
        <w:numPr>
          <w:ilvl w:val="0"/>
          <w:numId w:val="1011"/>
        </w:numPr>
        <w:pStyle w:val="Compact"/>
      </w:pPr>
      <w:r>
        <w:t xml:space="preserve">Product Weight (for EoL calculation): 1.5 kg (assuming average total product weight)</w:t>
      </w:r>
    </w:p>
    <w:p>
      <w:pPr>
        <w:numPr>
          <w:ilvl w:val="0"/>
          <w:numId w:val="1011"/>
        </w:numPr>
        <w:pStyle w:val="Compact"/>
      </w:pPr>
      <w:r>
        <w:t xml:space="preserve">Emission Factor for Landfill (Mixed Waste): 0.1 kg CO2e/kg</w:t>
      </w:r>
    </w:p>
    <w:p>
      <w:pPr>
        <w:numPr>
          <w:ilvl w:val="0"/>
          <w:numId w:val="1011"/>
        </w:numPr>
        <w:pStyle w:val="Compact"/>
      </w:pPr>
      <w:r>
        <w:t xml:space="preserve">Avoided Emissions from Recycling (Illustrative for metals/plastics): -1.0 kg CO2e/kg (credit for recycled material replacing virgin)</w:t>
      </w:r>
    </w:p>
    <w:p>
      <w:r>
        <w:pict>
          <v:rect style="width:0;height:1.5pt" o:hralign="center" o:hrstd="t" o:hr="t"/>
        </w:pict>
      </w:r>
    </w:p>
    <w:bookmarkEnd w:id="32"/>
    <w:bookmarkEnd w:id="33"/>
    <w:bookmarkStart w:id="44" w:name="X2c62247db19834934c44c209ad423fe06ba5c64"/>
    <w:p>
      <w:pPr>
        <w:pStyle w:val="Heading2"/>
      </w:pPr>
      <w:r>
        <w:t xml:space="preserve">3. Calculation of Emissions (Activity * Emission Factor = CO2e)</w:t>
      </w:r>
    </w:p>
    <w:p>
      <w:pPr>
        <w:pStyle w:val="FirstParagraph"/>
      </w:pPr>
      <w:r>
        <w:t xml:space="preserve">This section details the calculation of CO2e emissions for each lifecycle stage, categorized by GHG Protocol scopes. Where specific parameters were placeholder strings, illustrative values were used, as noted above.</w:t>
      </w:r>
    </w:p>
    <w:bookmarkStart w:id="34" w:name="scope-1-2-emissions-manufacturing"/>
    <w:p>
      <w:pPr>
        <w:pStyle w:val="Heading3"/>
      </w:pPr>
      <w:r>
        <w:t xml:space="preserve">3.1. Scope 1 &amp; 2 Emissions (Manufacturing)</w:t>
      </w:r>
    </w:p>
    <w:p>
      <w:pPr>
        <w:pStyle w:val="FirstParagraph"/>
      </w:pPr>
      <w:r>
        <w:t xml:space="preserve">Direct emissions from manufacturing (Scope 1) are assumed negligible for this product\'s factory-gate boundary, focusing primarily on purchased energy. Scope 2 emissions are derived from electricity consumption at the production facility.</w:t>
      </w:r>
    </w:p>
    <w:p>
      <w:pPr>
        <w:numPr>
          <w:ilvl w:val="0"/>
          <w:numId w:val="1012"/>
        </w:numPr>
        <w:pStyle w:val="Compact"/>
      </w:pPr>
      <w:r>
        <w:t xml:space="preserve">Total Energy Consumed: 15 kWh/unit</w:t>
      </w:r>
    </w:p>
    <w:p>
      <w:pPr>
        <w:numPr>
          <w:ilvl w:val="0"/>
          <w:numId w:val="1012"/>
        </w:numPr>
        <w:pStyle w:val="Compact"/>
      </w:pPr>
      <w:r>
        <w:t xml:space="preserve">Renewable Energy Share: 50%</w:t>
      </w:r>
    </w:p>
    <w:p>
      <w:pPr>
        <w:numPr>
          <w:ilvl w:val="0"/>
          <w:numId w:val="1012"/>
        </w:numPr>
        <w:pStyle w:val="Compact"/>
      </w:pPr>
      <w:r>
        <w:t xml:space="preserve">Non-Renewable Energy Consumed: 15 kWh/unit * (1 - 0.50) = 7.5 kWh/unit</w:t>
      </w:r>
    </w:p>
    <w:p>
      <w:pPr>
        <w:numPr>
          <w:ilvl w:val="0"/>
          <w:numId w:val="1012"/>
        </w:numPr>
        <w:pStyle w:val="Compact"/>
      </w:pPr>
      <w:r>
        <w:t xml:space="preserve">Grid Emission Factor (China): 0.65 kg CO2e/kWh</w:t>
      </w:r>
    </w:p>
    <w:p>
      <w:pPr>
        <w:numPr>
          <w:ilvl w:val="0"/>
          <w:numId w:val="1012"/>
        </w:numPr>
        <w:pStyle w:val="Compact"/>
      </w:pPr>
      <w:r>
        <w:rPr>
          <w:bCs/>
          <w:b/>
        </w:rPr>
        <w:t xml:space="preserve">Scope 2 Emissions:</w:t>
      </w:r>
      <w:r>
        <w:t xml:space="preserve"> </w:t>
      </w:r>
      <w:r>
        <w:t xml:space="preserve">7.5 kWh/unit * 0.65 kg CO2e/kWh =</w:t>
      </w:r>
      <w:r>
        <w:t xml:space="preserve"> </w:t>
      </w:r>
      <w:r>
        <w:t xml:space="preserve">4.88 kg CO2e/unit</w:t>
      </w:r>
    </w:p>
    <w:bookmarkEnd w:id="34"/>
    <w:bookmarkStart w:id="41" w:name="scope-3-emissions-value-chain"/>
    <w:p>
      <w:pPr>
        <w:pStyle w:val="Heading3"/>
      </w:pPr>
      <w:r>
        <w:t xml:space="preserve">3.2. Scope 3 Emissions (Value Chain)</w:t>
      </w:r>
    </w:p>
    <w:bookmarkStart w:id="36" w:name="materials-upstream"/>
    <w:p>
      <w:pPr>
        <w:pStyle w:val="Heading4"/>
      </w:pPr>
      <w:r>
        <w:t xml:space="preserve">3.2.1. Materials (Upstream)</w:t>
      </w:r>
    </w:p>
    <w:p>
      <w:pPr>
        <w:pStyle w:val="FirstParagraph"/>
      </w:pPr>
      <w:r>
        <w:t xml:space="preserve">Based on the illustrative BOM (Section 2.1).</w:t>
      </w:r>
    </w:p>
    <w:p>
      <w:pPr>
        <w:numPr>
          <w:ilvl w:val="0"/>
          <w:numId w:val="1013"/>
        </w:numPr>
        <w:pStyle w:val="Compact"/>
      </w:pPr>
      <w:r>
        <w:t xml:space="preserve">Total Material Carbon Impact:</w:t>
      </w:r>
      <w:r>
        <w:t xml:space="preserve"> </w:t>
      </w:r>
      <w:bookmarkStart w:id="35" w:name="calculatedTotalMaterialCarbon"/>
      <w:bookmarkEnd w:id="35"/>
    </w:p>
    <w:bookmarkEnd w:id="36"/>
    <w:bookmarkStart w:id="38" w:name="transport-upstream-downstream"/>
    <w:p>
      <w:pPr>
        <w:pStyle w:val="Heading4"/>
      </w:pPr>
      <w:r>
        <w:t xml:space="preserve">3.2.2. Transport (Upstream &amp; Downstream)</w:t>
      </w:r>
    </w:p>
    <w:p>
      <w:pPr>
        <w:pStyle w:val="FirstParagraph"/>
      </w:pPr>
      <w:r>
        <w:t xml:space="preserve">Based on the illustrative transport data (Section 2.3).</w:t>
      </w:r>
    </w:p>
    <w:p>
      <w:pPr>
        <w:numPr>
          <w:ilvl w:val="0"/>
          <w:numId w:val="1014"/>
        </w:numPr>
        <w:pStyle w:val="Compact"/>
      </w:pPr>
      <w:r>
        <w:t xml:space="preserve">Total Transport Carbon Impact:</w:t>
      </w:r>
      <w:r>
        <w:t xml:space="preserve"> </w:t>
      </w:r>
      <w:bookmarkStart w:id="37" w:name="calculatedTotalTransportCarbon"/>
      <w:bookmarkEnd w:id="37"/>
    </w:p>
    <w:bookmarkEnd w:id="38"/>
    <w:bookmarkStart w:id="39" w:name="use-phase-downstream"/>
    <w:p>
      <w:pPr>
        <w:pStyle w:val="Heading4"/>
      </w:pPr>
      <w:r>
        <w:t xml:space="preserve">3.2.3. Use Phase (Downstream)</w:t>
      </w:r>
    </w:p>
    <w:p>
      <w:pPr>
        <w:numPr>
          <w:ilvl w:val="0"/>
          <w:numId w:val="1015"/>
        </w:numPr>
        <w:pStyle w:val="Compact"/>
      </w:pPr>
      <w:r>
        <w:t xml:space="preserve">Total Energy Consumption over Lifespan: 20 kWh/year * 5 years = 100 kWh/unit</w:t>
      </w:r>
    </w:p>
    <w:p>
      <w:pPr>
        <w:numPr>
          <w:ilvl w:val="0"/>
          <w:numId w:val="1015"/>
        </w:numPr>
        <w:pStyle w:val="Compact"/>
      </w:pPr>
      <w:r>
        <w:t xml:space="preserve">Electricity Emission Factor (Global average): 0.4 kg CO2e/kWh</w:t>
      </w:r>
    </w:p>
    <w:p>
      <w:pPr>
        <w:numPr>
          <w:ilvl w:val="0"/>
          <w:numId w:val="1015"/>
        </w:numPr>
        <w:pStyle w:val="Compact"/>
      </w:pPr>
      <w:r>
        <w:rPr>
          <w:bCs/>
          <w:b/>
        </w:rPr>
        <w:t xml:space="preserve">Use Phase Emissions:</w:t>
      </w:r>
      <w:r>
        <w:t xml:space="preserve"> </w:t>
      </w:r>
      <w:r>
        <w:t xml:space="preserve">100 kWh/unit * 0.4 kg CO2e/kWh =</w:t>
      </w:r>
      <w:r>
        <w:t xml:space="preserve"> </w:t>
      </w:r>
      <w:r>
        <w:t xml:space="preserve">40.00 kg CO2e/unit</w:t>
      </w:r>
    </w:p>
    <w:bookmarkEnd w:id="39"/>
    <w:bookmarkStart w:id="40" w:name="end-of-life-downstream"/>
    <w:p>
      <w:pPr>
        <w:pStyle w:val="Heading4"/>
      </w:pPr>
      <w:r>
        <w:t xml:space="preserve">3.2.4. End-of-Life (Downstream)</w:t>
      </w:r>
    </w:p>
    <w:p>
      <w:pPr>
        <w:numPr>
          <w:ilvl w:val="0"/>
          <w:numId w:val="1016"/>
        </w:numPr>
        <w:pStyle w:val="Compact"/>
      </w:pPr>
      <w:r>
        <w:t xml:space="preserve">Total Product Weight: 1.5 kg/unit</w:t>
      </w:r>
    </w:p>
    <w:p>
      <w:pPr>
        <w:numPr>
          <w:ilvl w:val="0"/>
          <w:numId w:val="1016"/>
        </w:numPr>
        <w:pStyle w:val="Compact"/>
      </w:pPr>
      <w:r>
        <w:t xml:space="preserve">Recycled Weight: 1.5 kg * 70% = 1.05 kg</w:t>
      </w:r>
    </w:p>
    <w:p>
      <w:pPr>
        <w:numPr>
          <w:ilvl w:val="0"/>
          <w:numId w:val="1016"/>
        </w:numPr>
        <w:pStyle w:val="Compact"/>
      </w:pPr>
      <w:r>
        <w:t xml:space="preserve">Disposed Weight (Landfill): 1.5 kg * (1 - 70%) = 0.45 kg</w:t>
      </w:r>
    </w:p>
    <w:p>
      <w:pPr>
        <w:numPr>
          <w:ilvl w:val="0"/>
          <w:numId w:val="1016"/>
        </w:numPr>
        <w:pStyle w:val="Compact"/>
      </w:pPr>
      <w:r>
        <w:t xml:space="preserve">Emissions from Landfill: 0.45 kg * 0.1 kg CO2e/kg = 0.045 kg CO2e/unit</w:t>
      </w:r>
    </w:p>
    <w:p>
      <w:pPr>
        <w:numPr>
          <w:ilvl w:val="0"/>
          <w:numId w:val="1016"/>
        </w:numPr>
        <w:pStyle w:val="Compact"/>
      </w:pPr>
      <w:r>
        <w:t xml:space="preserve">Avoided Emissions from Recycling: 1.05 kg * (-1.0 kg CO2e/kg) = -1.05 kg CO2e/unit</w:t>
      </w:r>
    </w:p>
    <w:p>
      <w:pPr>
        <w:numPr>
          <w:ilvl w:val="0"/>
          <w:numId w:val="1016"/>
        </w:numPr>
        <w:pStyle w:val="Compact"/>
      </w:pPr>
      <w:r>
        <w:rPr>
          <w:bCs/>
          <w:b/>
        </w:rPr>
        <w:t xml:space="preserve">Net EoL Emissions:</w:t>
      </w:r>
      <w:r>
        <w:t xml:space="preserve"> </w:t>
      </w:r>
      <w:r>
        <w:t xml:space="preserve">0.045 kg CO2e/unit + (-1.05 kg CO2e/unit) =</w:t>
      </w:r>
      <w:r>
        <w:t xml:space="preserve"> </w:t>
      </w:r>
      <w:r>
        <w:t xml:space="preserve">-1.01 kg CO2e/unit</w:t>
      </w:r>
      <w:r>
        <w:t xml:space="preserve"> </w:t>
      </w:r>
      <w:r>
        <w:t xml:space="preserve">(credit due to high recyclability)</w:t>
      </w:r>
    </w:p>
    <w:bookmarkEnd w:id="40"/>
    <w:bookmarkEnd w:id="41"/>
    <w:bookmarkStart w:id="42" w:name="X32467661f1b22d74c703ec57156f8d66f2dccc1"/>
    <w:p>
      <w:pPr>
        <w:pStyle w:val="Heading3"/>
      </w:pPr>
      <w:r>
        <w:t xml:space="preserve">3.3. Application of 2026 LSR Update (Land Sector and Removals)</w:t>
      </w:r>
    </w:p>
    <w:p>
      <w:pPr>
        <w:pStyle w:val="FirstParagraph"/>
      </w:pPr>
      <w:r>
        <w:t xml:space="preserve">The Land Sector and Removals (LSR) Standard requires accounting for greenhouse gas fluxes from land use and land-use change, as well as carbon removals. For product-level PCF, this primarily relates to biomass-derived materials and carbon sequestration within the product or its packaging.</w:t>
      </w:r>
    </w:p>
    <w:p>
      <w:pPr>
        <w:numPr>
          <w:ilvl w:val="0"/>
          <w:numId w:val="1017"/>
        </w:numPr>
        <w:pStyle w:val="Compact"/>
      </w:pPr>
      <w:r>
        <w:t xml:space="preserve">For this product, assuming no significant bio-based materials with explicit biogenic carbon uptake, the direct LSR impact within the \'factory_gate\' boundary is considered negligible in this illustrative calculation.</w:t>
      </w:r>
    </w:p>
    <w:p>
      <w:pPr>
        <w:numPr>
          <w:ilvl w:val="0"/>
          <w:numId w:val="1017"/>
        </w:numPr>
        <w:pStyle w:val="Compact"/>
      </w:pPr>
      <w:r>
        <w:t xml:space="preserve">However, the cardboard packaging (M006) would typically be considered for biogenic carbon. If sourced from sustainably managed forests, its eventual degradation/combustion might be considered carbon neutral over time, or a removal if permanently sequestered. For simplicity in this illustrative report, the emission factor for cardboard already reflects cradle-to-gate impacts, and explicit LSR removals are not quantified without specific biogenic carbon data.</w:t>
      </w:r>
    </w:p>
    <w:bookmarkEnd w:id="42"/>
    <w:bookmarkStart w:id="43" w:name="scope-3-compliance-95-coverage"/>
    <w:p>
      <w:pPr>
        <w:pStyle w:val="Heading3"/>
      </w:pPr>
      <w:r>
        <w:t xml:space="preserve">3.4. Scope 3 Compliance (95% Coverage)</w:t>
      </w:r>
    </w:p>
    <w:p>
      <w:pPr>
        <w:pStyle w:val="FirstParagraph"/>
      </w:pPr>
      <w:r>
        <w:t xml:space="preserve">This analysis aims for at least 95% coverage for Scope 3 reporting, as per 2026 requirements. The illustrative calculations include significant upstream (materials, inbound transport) and downstream (outbound transport, use phase, EoL) categories. While some minor categories might be omitted for brevity in this illustrative report, a full PCF would meticulously quantify all relevant Scope 3 categories to meet this threshold.</w:t>
      </w:r>
    </w:p>
    <w:p>
      <w:r>
        <w:pict>
          <v:rect style="width:0;height:1.5pt" o:hralign="center" o:hrstd="t" o:hr="t"/>
        </w:pict>
      </w:r>
    </w:p>
    <w:bookmarkEnd w:id="43"/>
    <w:bookmarkEnd w:id="44"/>
    <w:bookmarkStart w:id="46" w:name="overall-product-carbon-footprint-pcf"/>
    <w:p>
      <w:pPr>
        <w:pStyle w:val="Heading2"/>
      </w:pPr>
      <w:r>
        <w:t xml:space="preserve">4. Overall Product Carbon Footprint (PCF)</w:t>
      </w:r>
    </w:p>
    <w:p>
      <w:pPr>
        <w:pStyle w:val="FirstParagraph"/>
      </w:pPr>
      <w:r>
        <w:t xml:space="preserve">The total Product Carbon Footprint for one functional unit of ndvjvrlgdq is summarized below, based on the illustrative data and calculations.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4.88</w:t>
            </w:r>
          </w:p>
        </w:tc>
        <w:tc>
          <w:tcPr/>
          <w:p>
            <w:pPr>
              <w:pStyle w:val="Compact"/>
            </w:pP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pP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-1.01</w:t>
            </w:r>
          </w:p>
        </w:tc>
        <w:tc>
          <w:tcPr/>
          <w:p>
            <w:pPr>
              <w:pStyle w:val="Compact"/>
            </w:pPr>
          </w:p>
        </w:tc>
      </w:tr>
      <w:tr>
        <w:tc>
          <w:tcPr>
            <w:gridSpan w:val="2"/>
          </w:tcPr>
          <w:p>
            <w:pPr>
              <w:pStyle w:val="Compact"/>
              <w:jc w:val="right"/>
            </w:pPr>
            <w:r>
              <w:t xml:space="preserve">Total Product Carbon Footprint:</w:t>
            </w:r>
          </w:p>
        </w:tc>
        <w:tc>
          <w:tcPr/>
          <w:p>
            <w:pPr>
              <w:pStyle w:val="Compact"/>
            </w:pPr>
          </w:p>
        </w:tc>
        <w:tc>
          <w:tcPr/>
          <w:p>
            <w:pPr>
              <w:pStyle w:val="Compact"/>
              <w:jc w:val="left"/>
            </w:pPr>
            <w:r>
              <w:t xml:space="preserve">100.00%</w:t>
            </w:r>
          </w:p>
        </w:tc>
      </w:tr>
    </w:tbl>
    <w:bookmarkStart w:id="45" w:name="hotspots-and-reliability"/>
    <w:p>
      <w:pPr>
        <w:pStyle w:val="Heading3"/>
      </w:pPr>
      <w:r>
        <w:t xml:space="preserve">4.1. Hotspots and Reliability</w:t>
      </w:r>
    </w:p>
    <w:p>
      <w:pPr>
        <w:pStyle w:val="FirstParagraph"/>
      </w:pPr>
      <w:r>
        <w:t xml:space="preserve">Based on this illustrative analysis, the primary carbon hotspots for ndvjvrlgdq are:</w:t>
      </w:r>
    </w:p>
    <w:p>
      <w:pPr>
        <w:numPr>
          <w:ilvl w:val="0"/>
          <w:numId w:val="1018"/>
        </w:numPr>
        <w:pStyle w:val="Compact"/>
      </w:pPr>
      <w:r>
        <w:rPr>
          <w:bCs/>
          <w:b/>
        </w:rPr>
        <w:t xml:space="preserve">Transport:</w:t>
      </w:r>
      <w:r>
        <w:t xml:space="preserve"> </w:t>
      </w:r>
      <w:r>
        <w:t xml:space="preserve">With the illustrative long-distance ocean freight, transportation represents a very significant portion of the total PCF. This highlights the substantial impact of globalized supply chains.</w:t>
      </w:r>
    </w:p>
    <w:p>
      <w:pPr>
        <w:numPr>
          <w:ilvl w:val="0"/>
          <w:numId w:val="1018"/>
        </w:numPr>
        <w:pStyle w:val="Compact"/>
      </w:pPr>
      <w:r>
        <w:rPr>
          <w:bCs/>
          <w:b/>
        </w:rPr>
        <w:t xml:space="preserve">Use Phase:</w:t>
      </w:r>
      <w:r>
        <w:t xml:space="preserve"> </w:t>
      </w:r>
      <w:r>
        <w:t xml:space="preserve">Representing a significant portion due to ongoing energy consumption over the product\'s lifespan. This emphasizes the importance of energy efficiency during product design.</w:t>
      </w:r>
    </w:p>
    <w:p>
      <w:pPr>
        <w:numPr>
          <w:ilvl w:val="0"/>
          <w:numId w:val="1018"/>
        </w:numPr>
        <w:pStyle w:val="Compact"/>
      </w:pPr>
      <w:r>
        <w:rPr>
          <w:bCs/>
          <w:b/>
        </w:rPr>
        <w:t xml:space="preserve">Materials Acquisition:</w:t>
      </w:r>
      <w:r>
        <w:t xml:space="preserve"> </w:t>
      </w:r>
      <w:r>
        <w:t xml:space="preserve">Upstream emissions from raw material production, particularly for components with high embodied carbon (e.g., certain electronics or metals).</w:t>
      </w:r>
    </w:p>
    <w:p>
      <w:pPr>
        <w:pStyle w:val="FirstParagraph"/>
      </w:pPr>
      <w:r>
        <w:t xml:space="preserve">The reliability of this report is directly dependent on the accuracy and completeness of the underlying data. As noted, several parameters were literal placeholder strings, and illustrative data was used for calculations. For a truly high-accuracy PCF, primary, specific data for all components, processes, and logistics would be crucial. The illustrative emission factors used are consistent with ranges found in industry-standard databases.</w:t>
      </w:r>
    </w:p>
    <w:p>
      <w:r>
        <w:pict>
          <v:rect style="width:0;height:1.5pt" o:hralign="center" o:hrstd="t" o:hr="t"/>
        </w:pict>
      </w:r>
    </w:p>
    <w:bookmarkEnd w:id="45"/>
    <w:bookmarkEnd w:id="46"/>
    <w:bookmarkStart w:id="49" w:name="review-recommendations"/>
    <w:p>
      <w:pPr>
        <w:pStyle w:val="Heading2"/>
      </w:pPr>
      <w:r>
        <w:t xml:space="preserve">5. Review &amp; Recommendations</w:t>
      </w:r>
    </w:p>
    <w:p>
      <w:pPr>
        <w:pStyle w:val="FirstParagraph"/>
      </w:pPr>
      <w:r>
        <w:t xml:space="preserve">This PCF analysis provides valuable insights into the environmental footprint of ndvjvrlgdq. To further reduce its carbon impact, svrieqkoef should consider the following recommendations:</w:t>
      </w:r>
    </w:p>
    <w:p>
      <w:pPr>
        <w:numPr>
          <w:ilvl w:val="0"/>
          <w:numId w:val="1019"/>
        </w:numPr>
        <w:pStyle w:val="Compact"/>
      </w:pPr>
      <w:r>
        <w:rPr>
          <w:bCs/>
          <w:b/>
        </w:rPr>
        <w:t xml:space="preserve">Optimize Logistics:</w:t>
      </w:r>
      <w:r>
        <w:t xml:space="preserve"> </w:t>
      </w:r>
      <w:r>
        <w:t xml:space="preserve">Given the high impact of transport, investigate opportunities to optimize transport routes, shift to lower-emission transport modes where feasible (e.g., rail over road), and explore localized production or sourcing to reduce distances.</w:t>
      </w:r>
    </w:p>
    <w:p>
      <w:pPr>
        <w:numPr>
          <w:ilvl w:val="0"/>
          <w:numId w:val="1019"/>
        </w:numPr>
        <w:pStyle w:val="Compact"/>
      </w:pPr>
      <w:r>
        <w:rPr>
          <w:bCs/>
          <w:b/>
        </w:rPr>
        <w:t xml:space="preserve">Enhance Use Phase Efficiency:</w:t>
      </w:r>
      <w:r>
        <w:t xml:space="preserve"> </w:t>
      </w:r>
      <w:r>
        <w:t xml:space="preserve">Focus on designing for lower energy consumption during the product\'s active life. This could involve more energy-efficient components, smart power management features, or offering renewable energy options for users.</w:t>
      </w:r>
    </w:p>
    <w:p>
      <w:pPr>
        <w:numPr>
          <w:ilvl w:val="0"/>
          <w:numId w:val="1019"/>
        </w:numPr>
        <w:pStyle w:val="Compact"/>
      </w:pPr>
      <w:r>
        <w:rPr>
          <w:bCs/>
          <w:b/>
        </w:rPr>
        <w:t xml:space="preserve">Sustainable Material Sourcing:</w:t>
      </w:r>
      <w:r>
        <w:t xml:space="preserve"> </w:t>
      </w:r>
      <w:r>
        <w:t xml:space="preserve">Explore alternative materials with lower embodied carbon, increase recycled content in components, and collaborate with suppliers to reduce upstream emissions.</w:t>
      </w:r>
    </w:p>
    <w:p>
      <w:pPr>
        <w:numPr>
          <w:ilvl w:val="0"/>
          <w:numId w:val="1019"/>
        </w:numPr>
        <w:pStyle w:val="Compact"/>
      </w:pPr>
      <w:r>
        <w:rPr>
          <w:bCs/>
          <w:b/>
        </w:rPr>
        <w:t xml:space="preserve">Strengthen Circular Economy Initiatives:</w:t>
      </w:r>
      <w:r>
        <w:t xml:space="preserve"> </w:t>
      </w:r>
      <w:r>
        <w:t xml:space="preserve">Further develop and promote take-back and recycling programs, aiming for higher recyclability rates and exploring product-as-a-service models to maximize material utilization.</w:t>
      </w:r>
    </w:p>
    <w:p>
      <w:pPr>
        <w:numPr>
          <w:ilvl w:val="0"/>
          <w:numId w:val="1019"/>
        </w:numPr>
        <w:pStyle w:val="Compact"/>
      </w:pPr>
      <w:r>
        <w:rPr>
          <w:bCs/>
          <w:b/>
        </w:rPr>
        <w:t xml:space="preserve">Improve Data Collection:</w:t>
      </w:r>
      <w:r>
        <w:t xml:space="preserve"> </w:t>
      </w:r>
      <w:r>
        <w:t xml:space="preserve">Implement robust systems for collecting primary data for all BOM items, energy consumption at the factory, and detailed logistics information to refine future PCF assessments and improve accuracy.</w:t>
      </w:r>
    </w:p>
    <w:p>
      <w:pPr>
        <w:numPr>
          <w:ilvl w:val="0"/>
          <w:numId w:val="1019"/>
        </w:numPr>
        <w:pStyle w:val="Compact"/>
      </w:pPr>
      <w:r>
        <w:rPr>
          <w:bCs/>
          <w:b/>
        </w:rPr>
        <w:t xml:space="preserve">Leverage Renewable Energy:</w:t>
      </w:r>
      <w:r>
        <w:t xml:space="preserve"> </w:t>
      </w:r>
      <w:r>
        <w:t xml:space="preserve">Increase the proportion of renewable energy used in manufacturing operations and throughout the supply chain. The current 50% renewable usage is a good start, but further investment can significantly reduce Scope 2 emissions.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r>
        <w:t xml:space="preserve"> </w:t>
      </w:r>
      <w:r>
        <w:t xml:space="preserve">of</w:t>
      </w:r>
      <w:r>
        <w:t xml:space="preserve"> </w:t>
      </w:r>
      <w:bookmarkStart w:id="48" w:name="total-pages"/>
      <w:bookmarkEnd w:id="48"/>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ndvjvrlgdq</dc:title>
  <dc:creator/>
  <dc:description>Product Carbon Footprint (PCF) analysis report for ndvjvrlgdq, conducted by Senior Sustainability Consultant rmotqyjywq for svrieqkoef, adhering to GHG Protocol standards and 2026 LSR updates.</dc:description>
  <dc:language>en</dc:language>
  <cp:keywords/>
  <dcterms:created xsi:type="dcterms:W3CDTF">2026-07-15T05:29:00Z</dcterms:created>
  <dcterms:modified xsi:type="dcterms:W3CDTF">2026-07-15T05:29:00Z</dcterms:modified>
</cp:coreProperties>
</file>

<file path=docProps/custom.xml><?xml version="1.0" encoding="utf-8"?>
<Properties xmlns="http://schemas.openxmlformats.org/officeDocument/2006/custom-properties" xmlns:vt="http://schemas.openxmlformats.org/officeDocument/2006/docPropsVTypes"/>
</file>