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mzvjwiqown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mzvjwiqown</w:t>
      </w:r>
    </w:p>
    <w:p>
      <w:pPr>
        <w:pStyle w:val="BodyText"/>
      </w:pPr>
      <w:r>
        <w:rPr>
          <w:bCs/>
          <w:b/>
        </w:rPr>
        <w:t xml:space="preserve">Company:</w:t>
      </w:r>
      <w:r>
        <w:t xml:space="preserve"> </w:t>
      </w:r>
      <w:r>
        <w:t xml:space="preserve">hvnmdiueht</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svzmimqhld</w:t>
      </w:r>
    </w:p>
    <w:p>
      <w:pPr>
        <w:pStyle w:val="BodyText"/>
      </w:pPr>
      <w:r>
        <w:t xml:space="preserve">This report is generated based on available data and industry standards. While every effort has been made to ensure accuracy, actual emissions may vary based on real-world conditions and data availability.</w:t>
      </w:r>
    </w:p>
    <w:bookmarkEnd w:id="20"/>
    <w:bookmarkStart w:id="42" w:name="X8255d1b1f179159b5737e5b00da66db19c48936"/>
    <w:p>
      <w:pPr>
        <w:pStyle w:val="Heading1"/>
      </w:pPr>
      <w:r>
        <w:t xml:space="preserve">Product Carbon Footprint Analysis for mzvjwiqown</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detailed Product Carbon Footprint (PCF) analysis for the product</w:t>
      </w:r>
      <w:r>
        <w:t xml:space="preserve"> </w:t>
      </w:r>
      <w:r>
        <w:rPr>
          <w:bCs/>
          <w:b/>
        </w:rPr>
        <w:t xml:space="preserve">mzvjwiqown</w:t>
      </w:r>
      <w:r>
        <w:t xml:space="preserve">, manufactured by</w:t>
      </w:r>
      <w:r>
        <w:t xml:space="preserve"> </w:t>
      </w:r>
      <w:r>
        <w:rPr>
          <w:bCs/>
          <w:b/>
        </w:rPr>
        <w:t xml:space="preserve">hvnmdiueht</w:t>
      </w:r>
      <w:r>
        <w:t xml:space="preserve">. Conducted by Senior Sustainability Consultant</w:t>
      </w:r>
      <w:r>
        <w:t xml:space="preserve"> </w:t>
      </w:r>
      <w:r>
        <w:rPr>
          <w:bCs/>
          <w:b/>
        </w:rPr>
        <w:t xml:space="preserve">svzmimqhld</w:t>
      </w:r>
      <w:r>
        <w:t xml:space="preserve">, this assessment adheres strictly to the GHG Protocol accounting standard, incorporating the 2026 Land Sector and Removals (LSR) Standard and aiming for at least 95% Scope 3 coverage. The analysis covers the product\'s lifecycle from raw material acquisition to end-of-life, focusing on key emission hotspots and providing a comprehensive overview of its environmental impact. The functional unit for this analysis is 1.0 unit of mzvjwiqown.</w:t>
      </w:r>
    </w:p>
    <w:p>
      <w:r>
        <w:pict>
          <v:rect style="width:0;height:1.5pt" o:hralign="center" o:hrstd="t" o:hr="t"/>
        </w:pict>
      </w:r>
    </w:p>
    <w:bookmarkEnd w:id="21"/>
    <w:bookmarkStart w:id="28" w:name="methodology-and-scope-definition"/>
    <w:p>
      <w:pPr>
        <w:pStyle w:val="Heading2"/>
      </w:pPr>
      <w:r>
        <w:t xml:space="preserve">1. Methodology and Scope Definition</w:t>
      </w:r>
    </w:p>
    <w:p>
      <w:pPr>
        <w:pStyle w:val="FirstParagraph"/>
      </w:pPr>
      <w:r>
        <w:t xml:space="preserve">The Product Carbon Footprint (PCF) analysis for mzvjwiqown follows the five-step methodology prescribed by the GHG Protocol Product Standard.</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w:t>
      </w:r>
      <w:r>
        <w:t xml:space="preserve"> </w:t>
      </w:r>
      <w:r>
        <w:t xml:space="preserve">of mzvjwiqown, representing the quantified performance of the product system.</w:t>
      </w:r>
    </w:p>
    <w:p>
      <w:pPr>
        <w:numPr>
          <w:ilvl w:val="0"/>
          <w:numId w:val="1001"/>
        </w:numPr>
        <w:pStyle w:val="Compact"/>
      </w:pPr>
      <w:r>
        <w:rPr>
          <w:bCs/>
          <w:b/>
        </w:rPr>
        <w:t xml:space="preserve">System Boundary:</w:t>
      </w:r>
      <w:r>
        <w:t xml:space="preserve"> </w:t>
      </w:r>
      <w:r>
        <w:t xml:space="preserve">The analysis adopts a</w:t>
      </w:r>
      <w:r>
        <w:t xml:space="preserve"> </w:t>
      </w:r>
      <w:r>
        <w:rPr>
          <w:bCs/>
          <w:b/>
        </w:rPr>
        <w:t xml:space="preserve">factory_gate</w:t>
      </w:r>
      <w:r>
        <w:t xml:space="preserve"> </w:t>
      </w:r>
      <w:r>
        <w:t xml:space="preserve">system boundary for initial calculation, which includes raw material acquisition, manufacturing, and transport to the factory gate. However, for a holistic PCF, the report extends beyond factory gate to include transport, use phase, and end-of-life, covering cradle-to-grave.</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on</w:t>
      </w:r>
      <w:r>
        <w:t xml:space="preserve"> </w:t>
      </w:r>
      <w:r>
        <w:rPr>
          <w:bCs/>
          <w:b/>
        </w:rPr>
        <w:t xml:space="preserve">Europe</w:t>
      </w:r>
      <w:r>
        <w:t xml:space="preserve"> </w:t>
      </w:r>
      <w:r>
        <w:t xml:space="preserve">for downstream activities (transport, use, end-of-life).</w:t>
      </w:r>
    </w:p>
    <w:p>
      <w:pPr>
        <w:numPr>
          <w:ilvl w:val="0"/>
          <w:numId w:val="1001"/>
        </w:numPr>
        <w:pStyle w:val="Compact"/>
      </w:pPr>
      <w:r>
        <w:rPr>
          <w:bCs/>
          <w:b/>
        </w:rPr>
        <w:t xml:space="preserve">Accounting Standard:</w:t>
      </w:r>
      <w:r>
        <w:t xml:space="preserve"> </w:t>
      </w:r>
      <w:r>
        <w:t xml:space="preserve">This PCF analysis is conducted in accordance with the</w:t>
      </w:r>
      <w:r>
        <w:t xml:space="preserve"> </w:t>
      </w:r>
      <w:r>
        <w:rPr>
          <w:bCs/>
          <w:b/>
        </w:rPr>
        <w:t xml:space="preserve">GHG Protocol Product Life Cycle Accounting and Reporting Standard</w:t>
      </w:r>
      <w:r>
        <w:t xml:space="preserve">. All emissions are categorized into Scope 1 (direct), Scope 2 (purchased energy), and Scope 3 (value chain) emissions.</w:t>
      </w:r>
    </w:p>
    <w:p>
      <w:pPr>
        <w:numPr>
          <w:ilvl w:val="0"/>
          <w:numId w:val="1001"/>
        </w:numPr>
        <w:pStyle w:val="Compact"/>
      </w:pPr>
      <w:r>
        <w:rPr>
          <w:bCs/>
          <w:b/>
        </w:rPr>
        <w:t xml:space="preserve">Allocation:</w:t>
      </w:r>
      <w:r>
        <w:t xml:space="preserve"> </w:t>
      </w:r>
      <w:r>
        <w:t xml:space="preserve">Where necessary, emissions have been allocated based on mass or economic value, following GHG Protocol guidance.</w:t>
      </w:r>
    </w:p>
    <w:bookmarkEnd w:id="22"/>
    <w:bookmarkStart w:id="23" w:name="map-lifecycle-lci-inventory-stages"/>
    <w:p>
      <w:pPr>
        <w:pStyle w:val="Heading3"/>
      </w:pPr>
      <w:r>
        <w:t xml:space="preserve">1.2. Map Lifecycle (LCI Inventory Stages)</w:t>
      </w:r>
    </w:p>
    <w:p>
      <w:pPr>
        <w:pStyle w:val="FirstParagraph"/>
      </w:pPr>
      <w:r>
        <w:t xml:space="preserve">The lifecycle of mzvjwiqown has been mapped into the following stages for a comprehensive Life Cycle Inventory (LCI):</w:t>
      </w:r>
    </w:p>
    <w:p>
      <w:pPr>
        <w:numPr>
          <w:ilvl w:val="0"/>
          <w:numId w:val="1002"/>
        </w:numPr>
        <w:pStyle w:val="Compact"/>
      </w:pPr>
      <w:r>
        <w:rPr>
          <w:bCs/>
          <w:b/>
        </w:rPr>
        <w:t xml:space="preserve">Material Acquisition &amp; Pre-processing:</w:t>
      </w:r>
      <w:r>
        <w:t xml:space="preserve"> </w:t>
      </w:r>
      <w:r>
        <w:t xml:space="preserve">Extraction and processing of raw materials as detailed in the Bill of Materials (BOM).</w:t>
      </w:r>
    </w:p>
    <w:p>
      <w:pPr>
        <w:numPr>
          <w:ilvl w:val="0"/>
          <w:numId w:val="1002"/>
        </w:numPr>
        <w:pStyle w:val="Compact"/>
      </w:pPr>
      <w:r>
        <w:rPr>
          <w:bCs/>
          <w:b/>
        </w:rPr>
        <w:t xml:space="preserve">Manufacturing/Production:</w:t>
      </w:r>
      <w:r>
        <w:t xml:space="preserve"> </w:t>
      </w:r>
      <w:r>
        <w:t xml:space="preserve">Energy consumption and direct emissions at the hvnmdiueht production facility in China.</w:t>
      </w:r>
    </w:p>
    <w:p>
      <w:pPr>
        <w:numPr>
          <w:ilvl w:val="0"/>
          <w:numId w:val="1002"/>
        </w:numPr>
        <w:pStyle w:val="Compact"/>
      </w:pPr>
      <w:r>
        <w:rPr>
          <w:bCs/>
          <w:b/>
        </w:rPr>
        <w:t xml:space="preserve">Transportation:</w:t>
      </w:r>
      <w:r>
        <w:t xml:space="preserve"> </w:t>
      </w:r>
      <w:r>
        <w:t xml:space="preserve">Inbound logistics of materials to the factory, outbound logistics of finished product from factory to market, and last-mile delivery to the customer.</w:t>
      </w:r>
    </w:p>
    <w:p>
      <w:pPr>
        <w:numPr>
          <w:ilvl w:val="0"/>
          <w:numId w:val="1002"/>
        </w:numPr>
        <w:pStyle w:val="Compact"/>
      </w:pPr>
      <w:r>
        <w:rPr>
          <w:bCs/>
          <w:b/>
        </w:rPr>
        <w:t xml:space="preserve">Use Phase:</w:t>
      </w:r>
      <w:r>
        <w:t xml:space="preserve"> </w:t>
      </w:r>
      <w:r>
        <w:t xml:space="preserve">Energy consumption during the product\'s operational lifespan.</w:t>
      </w:r>
    </w:p>
    <w:p>
      <w:pPr>
        <w:numPr>
          <w:ilvl w:val="0"/>
          <w:numId w:val="1002"/>
        </w:numPr>
        <w:pStyle w:val="Compact"/>
      </w:pPr>
      <w:r>
        <w:rPr>
          <w:bCs/>
          <w:b/>
        </w:rPr>
        <w:t xml:space="preserve">End-of-Life (EoL):</w:t>
      </w:r>
      <w:r>
        <w:t xml:space="preserve"> </w:t>
      </w:r>
      <w:r>
        <w:t xml:space="preserve">Disposal, recycling, and recovery processes at the end of the product\'s useful life.</w:t>
      </w:r>
    </w:p>
    <w:bookmarkEnd w:id="23"/>
    <w:bookmarkStart w:id="25" w:name="Xb57f50a89bf1f3f1837369be949d9d60d6c1272"/>
    <w:p>
      <w:pPr>
        <w:pStyle w:val="Heading3"/>
      </w:pPr>
      <w:r>
        <w:t xml:space="preserve">1.3. Collect Data (Primary/Secondary Data Points)</w:t>
      </w:r>
    </w:p>
    <w:p>
      <w:pPr>
        <w:pStyle w:val="FirstParagraph"/>
      </w:pPr>
      <w:r>
        <w:t xml:space="preserve">A combination of primary and secondary data was utilized for this analysis. Primary data was provided for the Bill of Materials, production energy, product lifespan, energy consumption in use, recyclability, and circular programs. Secondary data, including industry-standard emission factors, was sourced from reputable databases such as Ecoinvent and DEFRA for generic processes, electricity grids, and transportation.</w:t>
      </w:r>
    </w:p>
    <w:bookmarkStart w:id="24" w:name="X038c71bbbabeea1140d3646f7d9e21fdfad0265"/>
    <w:p>
      <w:pPr>
        <w:pStyle w:val="Heading4"/>
      </w:pPr>
      <w:r>
        <w:t xml:space="preserve">Detailed Bill of Materials (BOM) Breakdown: krrwtpkf</w:t>
      </w:r>
    </w:p>
    <w:p>
      <w:pPr>
        <w:pStyle w:val="FirstParagraph"/>
      </w:pPr>
      <w:r>
        <w:t xml:space="preserve">The following table details the materials used in mzvjwiqown, along with their respective carbon impacts based on the provided data. This forms a crucial part of the Scope 3, Category 1 (Purchased Goods and Services)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internal frame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w:t>
            </w:r>
          </w:p>
        </w:tc>
      </w:tr>
      <w:tr>
        <w:tc>
          <w:tcPr>
            <w:gridSpan w:val="7"/>
          </w:tcPr>
          <w:p>
            <w:pPr>
              <w:pStyle w:val="Compact"/>
              <w:jc w:val="right"/>
            </w:pPr>
            <w:r>
              <w:t xml:space="preserve">Total Material Carbon Impact (Estimated Product Weight for Transport/EoL: 0.8 kg)</w:t>
            </w:r>
          </w:p>
        </w:tc>
        <w:tc>
          <w:tcPr/>
          <w:p>
            <w:pPr>
              <w:pStyle w:val="Compact"/>
              <w:jc w:val="left"/>
            </w:pPr>
            <w:r>
              <w:t xml:space="preserve">7.6 kg CO2e</w:t>
            </w:r>
          </w:p>
        </w:tc>
      </w:tr>
    </w:tbl>
    <w:p>
      <w:pPr>
        <w:pStyle w:val="BodyText"/>
      </w:pPr>
      <w:r>
        <w:rPr>
          <w:bCs/>
          <w:b/>
        </w:rPr>
        <w:t xml:space="preserve">Energy Inputs (Production Phase):</w:t>
      </w:r>
    </w:p>
    <w:p>
      <w:pPr>
        <w:numPr>
          <w:ilvl w:val="0"/>
          <w:numId w:val="1003"/>
        </w:numPr>
        <w:pStyle w:val="Compact"/>
      </w:pPr>
      <w:r>
        <w:t xml:space="preserve">Energy Intensity (yzzyqopmdv): 15 kWh/unit</w:t>
      </w:r>
    </w:p>
    <w:p>
      <w:pPr>
        <w:numPr>
          <w:ilvl w:val="0"/>
          <w:numId w:val="1003"/>
        </w:numPr>
        <w:pStyle w:val="Compact"/>
      </w:pPr>
      <w:r>
        <w:t xml:space="preserve">Renewable Energy Usage (zeffylmmtp): 60%</w:t>
      </w:r>
    </w:p>
    <w:p>
      <w:pPr>
        <w:pStyle w:val="FirstParagraph"/>
      </w:pPr>
      <w:r>
        <w:rPr>
          <w:bCs/>
          <w:b/>
        </w:rPr>
        <w:t xml:space="preserve">Logistics Data:</w:t>
      </w:r>
    </w:p>
    <w:p>
      <w:pPr>
        <w:numPr>
          <w:ilvl w:val="0"/>
          <w:numId w:val="1004"/>
        </w:numPr>
        <w:pStyle w:val="Compact"/>
      </w:pPr>
      <w:r>
        <w:t xml:space="preserve">Transport Mode (Main Leg): Select Mode (Sea Freight)</w:t>
      </w:r>
    </w:p>
    <w:p>
      <w:pPr>
        <w:numPr>
          <w:ilvl w:val="0"/>
          <w:numId w:val="1004"/>
        </w:numPr>
        <w:pStyle w:val="Compact"/>
      </w:pPr>
      <w:r>
        <w:t xml:space="preserve">Transport Distance (gioypidmoh): 20000 km</w:t>
      </w:r>
    </w:p>
    <w:p>
      <w:pPr>
        <w:numPr>
          <w:ilvl w:val="0"/>
          <w:numId w:val="1004"/>
        </w:numPr>
        <w:pStyle w:val="Compact"/>
      </w:pPr>
      <w:r>
        <w:t xml:space="preserve">Last-Mile Delivery Channel: Delivery Type (Road Freight)</w:t>
      </w:r>
    </w:p>
    <w:p>
      <w:pPr>
        <w:numPr>
          <w:ilvl w:val="0"/>
          <w:numId w:val="1004"/>
        </w:numPr>
        <w:pStyle w:val="Compact"/>
      </w:pPr>
      <w:r>
        <w:t xml:space="preserve">Estimated Last-Mile Distance: 500 km (assumed)</w:t>
      </w:r>
    </w:p>
    <w:p>
      <w:pPr>
        <w:pStyle w:val="FirstParagraph"/>
      </w:pPr>
      <w:r>
        <w:rPr>
          <w:bCs/>
          <w:b/>
        </w:rPr>
        <w:t xml:space="preserve">Use Phase Data:</w:t>
      </w:r>
    </w:p>
    <w:p>
      <w:pPr>
        <w:numPr>
          <w:ilvl w:val="0"/>
          <w:numId w:val="1005"/>
        </w:numPr>
        <w:pStyle w:val="Compact"/>
      </w:pPr>
      <w:r>
        <w:t xml:space="preserve">Product Lifespan: jexzfoljsi (5 years)</w:t>
      </w:r>
    </w:p>
    <w:p>
      <w:pPr>
        <w:numPr>
          <w:ilvl w:val="0"/>
          <w:numId w:val="1005"/>
        </w:numPr>
        <w:pStyle w:val="Compact"/>
      </w:pPr>
      <w:r>
        <w:t xml:space="preserve">Energy Consumption in Use (total over lifespan): ewqtwoepsf (100 kWh)</w:t>
      </w:r>
    </w:p>
    <w:p>
      <w:pPr>
        <w:pStyle w:val="FirstParagraph"/>
      </w:pPr>
      <w:r>
        <w:rPr>
          <w:bCs/>
          <w:b/>
        </w:rPr>
        <w:t xml:space="preserve">End-of-Life Data:</w:t>
      </w:r>
    </w:p>
    <w:p>
      <w:pPr>
        <w:numPr>
          <w:ilvl w:val="0"/>
          <w:numId w:val="1006"/>
        </w:numPr>
        <w:pStyle w:val="Compact"/>
      </w:pPr>
      <w:r>
        <w:t xml:space="preserve">Recyclability Percentage: xgyhrlxnjy (80%)</w:t>
      </w:r>
    </w:p>
    <w:p>
      <w:pPr>
        <w:numPr>
          <w:ilvl w:val="0"/>
          <w:numId w:val="1006"/>
        </w:numPr>
        <w:pStyle w:val="Compact"/>
      </w:pPr>
      <w:r>
        <w:t xml:space="preserve">Circular/Take-back Programs: muzutdzxqd (Robust take-back program in place)</w:t>
      </w:r>
    </w:p>
    <w:bookmarkEnd w:id="24"/>
    <w:bookmarkEnd w:id="25"/>
    <w:bookmarkStart w:id="27" w:name="Xb404f6bea4a0013006ec7a9103609d9ea6643c1"/>
    <w:p>
      <w:pPr>
        <w:pStyle w:val="Heading3"/>
      </w:pPr>
      <w:r>
        <w:t xml:space="preserve">1.4. Calculate Emissions (Activity * Emission Factor = CO2e)</w:t>
      </w:r>
    </w:p>
    <w:p>
      <w:pPr>
        <w:pStyle w:val="FirstParagraph"/>
      </w:pPr>
      <w:r>
        <w:t xml:space="preserve">Emissions are calculated by multiplying activity data (e.g., kg of material, kWh of electricity, tonne-km of transport) by relevant emission factors. The results are expressed in kilograms of carbon dioxide equivalent (kg CO2e).</w:t>
      </w:r>
    </w:p>
    <w:bookmarkStart w:id="26" w:name="X02d53c3922226c7ce8fb3d19e520c93237c2100"/>
    <w:p>
      <w:pPr>
        <w:pStyle w:val="Heading4"/>
      </w:pPr>
      <w:r>
        <w:t xml:space="preserve">GHG Protocol Compliance (2026 LSR Update &amp; Scope 3 Coverage)</w:t>
      </w:r>
    </w:p>
    <w:p>
      <w:pPr>
        <w:pStyle w:val="FirstParagraph"/>
      </w:pPr>
      <w:r>
        <w:t xml:space="preserve">This report strictly adheres to the GHG Protocol. Emissions are categorized as follows:</w:t>
      </w:r>
    </w:p>
    <w:p>
      <w:pPr>
        <w:numPr>
          <w:ilvl w:val="0"/>
          <w:numId w:val="1007"/>
        </w:numPr>
        <w:pStyle w:val="Compact"/>
      </w:pPr>
      <w:r>
        <w:rPr>
          <w:bCs/>
          <w:b/>
        </w:rPr>
        <w:t xml:space="preserve">Scope 1 (Direct Emissions):</w:t>
      </w:r>
      <w:r>
        <w:t xml:space="preserve"> </w:t>
      </w:r>
      <w:r>
        <w:t xml:space="preserve">Emissions from sources owned or controlled by hvnmdiueht. For this PCF, direct manufacturing process emissions not related to energy are assumed negligible or captured within energy factors unless specified otherwise.</w:t>
      </w:r>
    </w:p>
    <w:p>
      <w:pPr>
        <w:numPr>
          <w:ilvl w:val="0"/>
          <w:numId w:val="1007"/>
        </w:numPr>
        <w:pStyle w:val="Compact"/>
      </w:pPr>
      <w:r>
        <w:rPr>
          <w:bCs/>
          <w:b/>
        </w:rPr>
        <w:t xml:space="preserve">Scope 2 (Energy Indirect Emissions):</w:t>
      </w:r>
      <w:r>
        <w:t xml:space="preserve"> </w:t>
      </w:r>
      <w:r>
        <w:t xml:space="preserve">Emissions from the generation of purchased electricity consumed by hvnmdiueht\'s production facility.</w:t>
      </w:r>
    </w:p>
    <w:p>
      <w:pPr>
        <w:numPr>
          <w:ilvl w:val="0"/>
          <w:numId w:val="1007"/>
        </w:numPr>
        <w:pStyle w:val="Compact"/>
      </w:pPr>
      <w:r>
        <w:rPr>
          <w:bCs/>
          <w:b/>
        </w:rPr>
        <w:t xml:space="preserve">Scope 3 (Other Indirect Emissions):</w:t>
      </w:r>
      <w:r>
        <w:t xml:space="preserve"> </w:t>
      </w:r>
      <w:r>
        <w:t xml:space="preserve">All other indirect emissions occurring in the value chain, both upstream and downstream. This analysis ensures at least 95% coverage for Scope 3 reporting, as per 2026 requirements.</w:t>
      </w:r>
    </w:p>
    <w:p>
      <w:pPr>
        <w:numPr>
          <w:ilvl w:val="1"/>
          <w:numId w:val="1008"/>
        </w:numPr>
        <w:pStyle w:val="Compact"/>
      </w:pPr>
      <w:r>
        <w:t xml:space="preserve">Category 1: Purchased Goods and Services (Raw materials).</w:t>
      </w:r>
    </w:p>
    <w:p>
      <w:pPr>
        <w:numPr>
          <w:ilvl w:val="1"/>
          <w:numId w:val="1008"/>
        </w:numPr>
        <w:pStyle w:val="Compact"/>
      </w:pPr>
      <w:r>
        <w:t xml:space="preserve">Category 4: Upstream Transportation and Distribution.</w:t>
      </w:r>
    </w:p>
    <w:p>
      <w:pPr>
        <w:numPr>
          <w:ilvl w:val="1"/>
          <w:numId w:val="1008"/>
        </w:numPr>
        <w:pStyle w:val="Compact"/>
      </w:pPr>
      <w:r>
        <w:t xml:space="preserve">Category 9: Downstream Transportation and Distribution (Last-mile).</w:t>
      </w:r>
    </w:p>
    <w:p>
      <w:pPr>
        <w:numPr>
          <w:ilvl w:val="1"/>
          <w:numId w:val="1008"/>
        </w:numPr>
        <w:pStyle w:val="Compact"/>
      </w:pPr>
      <w:r>
        <w:t xml:space="preserve">Category 11: Use of Sold Products.</w:t>
      </w:r>
    </w:p>
    <w:p>
      <w:pPr>
        <w:numPr>
          <w:ilvl w:val="1"/>
          <w:numId w:val="1008"/>
        </w:numPr>
        <w:pStyle w:val="Compact"/>
      </w:pPr>
      <w:r>
        <w:t xml:space="preserve">Category 12: End-of-Life Treatment of Sold Products.</w:t>
      </w:r>
    </w:p>
    <w:p>
      <w:pPr>
        <w:pStyle w:val="FirstParagraph"/>
      </w:pPr>
      <w:r>
        <w:t xml:space="preserve">The</w:t>
      </w:r>
      <w:r>
        <w:t xml:space="preserve"> </w:t>
      </w:r>
      <w:r>
        <w:rPr>
          <w:bCs/>
          <w:b/>
        </w:rPr>
        <w:t xml:space="preserve">2026 Land Sector and Removals (LSR) Standard</w:t>
      </w:r>
      <w:r>
        <w:t xml:space="preserve"> </w:t>
      </w:r>
      <w:r>
        <w:t xml:space="preserve">is applied by considering any land-use change impacts associated with raw material sourcing, though none are explicitly identified as significant in the provided BOM data, and by accounting for potential carbon removals through circularity and recycling efforts where applicable to the product\'s end-of-life phase.</w:t>
      </w:r>
    </w:p>
    <w:bookmarkEnd w:id="26"/>
    <w:bookmarkEnd w:id="27"/>
    <w:bookmarkEnd w:id="28"/>
    <w:bookmarkStart w:id="34" w:name="Xda86f99b1eb070f26c6e0b466b13bb31f90adfb"/>
    <w:p>
      <w:pPr>
        <w:pStyle w:val="Heading2"/>
      </w:pPr>
      <w:r>
        <w:t xml:space="preserve">2. Product Carbon Footprint (PCF) Calculation Details for mzvjwiqown</w:t>
      </w:r>
    </w:p>
    <w:bookmarkStart w:id="29" w:name="X95281a875734e734c1e7c9344c2700c9631f12f"/>
    <w:p>
      <w:pPr>
        <w:pStyle w:val="Heading3"/>
      </w:pPr>
      <w:r>
        <w:t xml:space="preserve">2.1. Scope 3: Materials (Category 1 - Purchased Goods and Services)</w:t>
      </w:r>
    </w:p>
    <w:p>
      <w:pPr>
        <w:pStyle w:val="FirstParagraph"/>
      </w:pPr>
      <w:r>
        <w:t xml:space="preserve">Based on the provided Bill of Materials (krrwtpkf) and the "Total Carbon" values:</w:t>
      </w:r>
    </w:p>
    <w:p>
      <w:pPr>
        <w:numPr>
          <w:ilvl w:val="0"/>
          <w:numId w:val="1009"/>
        </w:numPr>
        <w:pStyle w:val="Compact"/>
      </w:pPr>
      <w:r>
        <w:t xml:space="preserve">Total Material Carbon Impact:</w:t>
      </w:r>
      <w:r>
        <w:t xml:space="preserve"> </w:t>
      </w:r>
      <w:r>
        <w:rPr>
          <w:bCs/>
          <w:b/>
        </w:rPr>
        <w:t xml:space="preserve">7.6 kg CO2e</w:t>
      </w:r>
    </w:p>
    <w:bookmarkEnd w:id="29"/>
    <w:bookmarkStart w:id="30" w:name="production-phase-emissions-scope-2"/>
    <w:p>
      <w:pPr>
        <w:pStyle w:val="Heading3"/>
      </w:pPr>
      <w:r>
        <w:t xml:space="preserve">2.2. Production Phase Emissions (Scope 2)</w:t>
      </w:r>
    </w:p>
    <w:p>
      <w:pPr>
        <w:pStyle w:val="FirstParagraph"/>
      </w:pPr>
      <w:r>
        <w:t xml:space="preserve">This covers the energy consumed during the manufacturing process in China.</w:t>
      </w:r>
    </w:p>
    <w:p>
      <w:pPr>
        <w:numPr>
          <w:ilvl w:val="0"/>
          <w:numId w:val="1010"/>
        </w:numPr>
        <w:pStyle w:val="Compact"/>
      </w:pPr>
      <w:r>
        <w:t xml:space="preserve">Energy Intensity (yzzyqopmdv): 15 kWh/unit</w:t>
      </w:r>
    </w:p>
    <w:p>
      <w:pPr>
        <w:numPr>
          <w:ilvl w:val="0"/>
          <w:numId w:val="1010"/>
        </w:numPr>
        <w:pStyle w:val="Compact"/>
      </w:pPr>
      <w:r>
        <w:t xml:space="preserve">Renewable Energy Usage (zeffylmmtp): 60%</w:t>
      </w:r>
    </w:p>
    <w:p>
      <w:pPr>
        <w:numPr>
          <w:ilvl w:val="0"/>
          <w:numId w:val="1010"/>
        </w:numPr>
        <w:pStyle w:val="Compact"/>
      </w:pPr>
      <w:r>
        <w:t xml:space="preserve">Non-renewable energy consumption: 15 kWh/unit * (1 - 0.60) = 6 kWh/unit</w:t>
      </w:r>
    </w:p>
    <w:p>
      <w:pPr>
        <w:numPr>
          <w:ilvl w:val="0"/>
          <w:numId w:val="1010"/>
        </w:numPr>
        <w:pStyle w:val="Compact"/>
      </w:pPr>
      <w:r>
        <w:t xml:space="preserve">Assumed China Grid Emission Factor (average): 0.55 kg CO2e/kWh (Source: IEA 2023 average, approximate)</w:t>
      </w:r>
    </w:p>
    <w:p>
      <w:pPr>
        <w:numPr>
          <w:ilvl w:val="0"/>
          <w:numId w:val="1010"/>
        </w:numPr>
        <w:pStyle w:val="Compact"/>
      </w:pPr>
      <w:r>
        <w:rPr>
          <w:bCs/>
          <w:b/>
        </w:rPr>
        <w:t xml:space="preserve">Scope 2 Emissions:</w:t>
      </w:r>
      <w:r>
        <w:t xml:space="preserve"> </w:t>
      </w:r>
      <w:r>
        <w:t xml:space="preserve">6 kWh/unit * 0.55 kg CO2e/kWh =</w:t>
      </w:r>
      <w:r>
        <w:t xml:space="preserve"> </w:t>
      </w:r>
      <w:r>
        <w:rPr>
          <w:bCs/>
          <w:b/>
        </w:rPr>
        <w:t xml:space="preserve">3.3 kg CO2e</w:t>
      </w:r>
    </w:p>
    <w:bookmarkEnd w:id="30"/>
    <w:bookmarkStart w:id="31" w:name="Xed2f5a6296f12bea3d7084530c5e70861fe9d88"/>
    <w:p>
      <w:pPr>
        <w:pStyle w:val="Heading3"/>
      </w:pPr>
      <w:r>
        <w:t xml:space="preserve">2.3. Transportation Emissions (Scope 3: Categories 4 &amp; 9)</w:t>
      </w:r>
    </w:p>
    <w:p>
      <w:pPr>
        <w:pStyle w:val="FirstParagraph"/>
      </w:pPr>
      <w:r>
        <w:t xml:space="preserve">This covers the main transport leg from China to Europe and the last-mile delivery. Product weight assumed at 0.8 kg based on BOM.</w:t>
      </w:r>
    </w:p>
    <w:p>
      <w:pPr>
        <w:numPr>
          <w:ilvl w:val="0"/>
          <w:numId w:val="1011"/>
        </w:numPr>
        <w:pStyle w:val="Compact"/>
      </w:pPr>
      <w:r>
        <w:t xml:space="preserve">Product Weight: 0.8 kg</w:t>
      </w:r>
    </w:p>
    <w:p>
      <w:pPr>
        <w:numPr>
          <w:ilvl w:val="0"/>
          <w:numId w:val="1011"/>
        </w:numPr>
        <w:pStyle w:val="Compact"/>
      </w:pPr>
      <w:r>
        <w:t xml:space="preserve">Transport Mode (Main Leg): Sea Freight (Container Ship)</w:t>
      </w:r>
    </w:p>
    <w:p>
      <w:pPr>
        <w:numPr>
          <w:ilvl w:val="0"/>
          <w:numId w:val="1011"/>
        </w:numPr>
        <w:pStyle w:val="Compact"/>
      </w:pPr>
      <w:r>
        <w:t xml:space="preserve">Transport Distance (gioypidmoh): 20000 km</w:t>
      </w:r>
    </w:p>
    <w:p>
      <w:pPr>
        <w:numPr>
          <w:ilvl w:val="0"/>
          <w:numId w:val="1011"/>
        </w:numPr>
        <w:pStyle w:val="Compact"/>
      </w:pPr>
      <w:r>
        <w:t xml:space="preserve">Emission Factor (Sea Freight): 0.01 kg CO2e/tonne-km (0.00001 kg CO2e/kg-km) (Source: DEFRA 2023, approximate)</w:t>
      </w:r>
    </w:p>
    <w:p>
      <w:pPr>
        <w:numPr>
          <w:ilvl w:val="0"/>
          <w:numId w:val="1011"/>
        </w:numPr>
        <w:pStyle w:val="Compact"/>
      </w:pPr>
      <w:r>
        <w:rPr>
          <w:bCs/>
          <w:b/>
        </w:rPr>
        <w:t xml:space="preserve">Main Leg Transport Emissions:</w:t>
      </w:r>
      <w:r>
        <w:t xml:space="preserve"> </w:t>
      </w:r>
      <w:r>
        <w:t xml:space="preserve">0.8 kg * 20000 km * 0.00001 kg CO2e/kg-km =</w:t>
      </w:r>
      <w:r>
        <w:t xml:space="preserve"> </w:t>
      </w:r>
      <w:r>
        <w:rPr>
          <w:bCs/>
          <w:b/>
        </w:rPr>
        <w:t xml:space="preserve">0.16 kg CO2e</w:t>
      </w:r>
    </w:p>
    <w:p>
      <w:pPr>
        <w:numPr>
          <w:ilvl w:val="0"/>
          <w:numId w:val="1011"/>
        </w:numPr>
        <w:pStyle w:val="Compact"/>
      </w:pPr>
      <w:r>
        <w:t xml:space="preserve">Last-Mile Delivery Channel (Delivery Type): Road Freight (Heavy Goods Vehicle)</w:t>
      </w:r>
    </w:p>
    <w:p>
      <w:pPr>
        <w:numPr>
          <w:ilvl w:val="0"/>
          <w:numId w:val="1011"/>
        </w:numPr>
        <w:pStyle w:val="Compact"/>
      </w:pPr>
      <w:r>
        <w:t xml:space="preserve">Assumed Last-Mile Distance: 500 km</w:t>
      </w:r>
    </w:p>
    <w:p>
      <w:pPr>
        <w:numPr>
          <w:ilvl w:val="0"/>
          <w:numId w:val="1011"/>
        </w:numPr>
        <w:pStyle w:val="Compact"/>
      </w:pPr>
      <w:r>
        <w:t xml:space="preserve">Emission Factor (Road Freight): 0.08 kg CO2e/tonne-km (0.00008 kg CO2e/kg-km) (Source: DEFRA 2023, approximate)</w:t>
      </w:r>
    </w:p>
    <w:p>
      <w:pPr>
        <w:numPr>
          <w:ilvl w:val="0"/>
          <w:numId w:val="1011"/>
        </w:numPr>
        <w:pStyle w:val="Compact"/>
      </w:pPr>
      <w:r>
        <w:rPr>
          <w:bCs/>
          <w:b/>
        </w:rPr>
        <w:t xml:space="preserve">Last-Mile Delivery Emissions:</w:t>
      </w:r>
      <w:r>
        <w:t xml:space="preserve"> </w:t>
      </w:r>
      <w:r>
        <w:t xml:space="preserve">0.8 kg * 500 km * 0.00008 kg CO2e/kg-km =</w:t>
      </w:r>
      <w:r>
        <w:t xml:space="preserve"> </w:t>
      </w:r>
      <w:r>
        <w:rPr>
          <w:bCs/>
          <w:b/>
        </w:rPr>
        <w:t xml:space="preserve">0.032 kg CO2e</w:t>
      </w:r>
    </w:p>
    <w:p>
      <w:pPr>
        <w:numPr>
          <w:ilvl w:val="0"/>
          <w:numId w:val="1011"/>
        </w:numPr>
        <w:pStyle w:val="Compact"/>
      </w:pPr>
      <w:r>
        <w:rPr>
          <w:bCs/>
          <w:b/>
        </w:rPr>
        <w:t xml:space="preserve">Total Transport Emissions:</w:t>
      </w:r>
      <w:r>
        <w:t xml:space="preserve"> </w:t>
      </w:r>
      <w:r>
        <w:t xml:space="preserve">0.16 kg CO2e + 0.032 kg CO2e =</w:t>
      </w:r>
      <w:r>
        <w:t xml:space="preserve"> </w:t>
      </w:r>
      <w:r>
        <w:rPr>
          <w:bCs/>
          <w:b/>
        </w:rPr>
        <w:t xml:space="preserve">0.192 kg CO2e</w:t>
      </w:r>
    </w:p>
    <w:bookmarkEnd w:id="31"/>
    <w:bookmarkStart w:id="32" w:name="X6421c938dd7e5cb731724b1ba3c67e4f5efecf9"/>
    <w:p>
      <w:pPr>
        <w:pStyle w:val="Heading3"/>
      </w:pPr>
      <w:r>
        <w:t xml:space="preserve">2.4. Use Phase Emissions (Scope 3: Category 11 - Use of Sold Products)</w:t>
      </w:r>
    </w:p>
    <w:p>
      <w:pPr>
        <w:pStyle w:val="FirstParagraph"/>
      </w:pPr>
      <w:r>
        <w:t xml:space="preserve">This accounts for the energy consumed by mzvjwiqown during its operational lifespan in Europe.</w:t>
      </w:r>
    </w:p>
    <w:p>
      <w:pPr>
        <w:numPr>
          <w:ilvl w:val="0"/>
          <w:numId w:val="1012"/>
        </w:numPr>
        <w:pStyle w:val="Compact"/>
      </w:pPr>
      <w:r>
        <w:t xml:space="preserve">Product Lifespan (jexzfoljsi): 5 years</w:t>
      </w:r>
    </w:p>
    <w:p>
      <w:pPr>
        <w:numPr>
          <w:ilvl w:val="0"/>
          <w:numId w:val="1012"/>
        </w:numPr>
        <w:pStyle w:val="Compact"/>
      </w:pPr>
      <w:r>
        <w:t xml:space="preserve">Total Energy Consumption in Use (ewqtwoepsf): 100 kWh over lifespan</w:t>
      </w:r>
    </w:p>
    <w:p>
      <w:pPr>
        <w:numPr>
          <w:ilvl w:val="0"/>
          <w:numId w:val="1012"/>
        </w:numPr>
        <w:pStyle w:val="Compact"/>
      </w:pPr>
      <w:r>
        <w:t xml:space="preserve">Assumed European Average Grid Emission Factor: 0.28 kg CO2e/kWh (Source: Ecoinvent/Eurostat average, approximate)</w:t>
      </w:r>
    </w:p>
    <w:p>
      <w:pPr>
        <w:numPr>
          <w:ilvl w:val="0"/>
          <w:numId w:val="1012"/>
        </w:numPr>
        <w:pStyle w:val="Compact"/>
      </w:pPr>
      <w:r>
        <w:rPr>
          <w:bCs/>
          <w:b/>
        </w:rPr>
        <w:t xml:space="preserve">Use Phase Emissions:</w:t>
      </w:r>
      <w:r>
        <w:t xml:space="preserve"> </w:t>
      </w:r>
      <w:r>
        <w:t xml:space="preserve">100 kWh * 0.28 kg CO2e/kWh =</w:t>
      </w:r>
      <w:r>
        <w:t xml:space="preserve"> </w:t>
      </w:r>
      <w:r>
        <w:rPr>
          <w:bCs/>
          <w:b/>
        </w:rPr>
        <w:t xml:space="preserve">28.0 kg CO2e</w:t>
      </w:r>
    </w:p>
    <w:bookmarkEnd w:id="32"/>
    <w:bookmarkStart w:id="33" w:name="Xe2e13a8f65c17e1ac66b0d841462be7a19c1c25"/>
    <w:p>
      <w:pPr>
        <w:pStyle w:val="Heading3"/>
      </w:pPr>
      <w:r>
        <w:t xml:space="preserve">2.5. End-of-Life (EoL) Emissions (Scope 3: Category 12 - End-of-Life Treatment of Sold Products)</w:t>
      </w:r>
    </w:p>
    <w:p>
      <w:pPr>
        <w:pStyle w:val="FirstParagraph"/>
      </w:pPr>
      <w:r>
        <w:t xml:space="preserve">This considers the fate of the product at the end of its lifespan, incorporating recyclability and circular programs.</w:t>
      </w:r>
    </w:p>
    <w:p>
      <w:pPr>
        <w:numPr>
          <w:ilvl w:val="0"/>
          <w:numId w:val="1013"/>
        </w:numPr>
        <w:pStyle w:val="Compact"/>
      </w:pPr>
      <w:r>
        <w:t xml:space="preserve">Product Weight: 0.8 kg</w:t>
      </w:r>
    </w:p>
    <w:p>
      <w:pPr>
        <w:numPr>
          <w:ilvl w:val="0"/>
          <w:numId w:val="1013"/>
        </w:numPr>
        <w:pStyle w:val="Compact"/>
      </w:pPr>
      <w:r>
        <w:t xml:space="preserve">Recyclability Percentage (xgyhrlxnjy): 80%</w:t>
      </w:r>
    </w:p>
    <w:p>
      <w:pPr>
        <w:numPr>
          <w:ilvl w:val="0"/>
          <w:numId w:val="1013"/>
        </w:numPr>
        <w:pStyle w:val="Compact"/>
      </w:pPr>
      <w:r>
        <w:t xml:space="preserve">Circular/Take-back Programs (muzutdzxqd): Robust take-back program in place, reinforcing the recyclability.</w:t>
      </w:r>
    </w:p>
    <w:p>
      <w:pPr>
        <w:numPr>
          <w:ilvl w:val="0"/>
          <w:numId w:val="1013"/>
        </w:numPr>
        <w:pStyle w:val="Compact"/>
      </w:pPr>
      <w:r>
        <w:t xml:space="preserve">Assumed EoL Emission Factor for Non-Recycled Material (e.g., landfill/incineration for mixed waste): 1.5 kg CO2e/kg (approximate for typical plastics/electronics waste without energy recovery)</w:t>
      </w:r>
    </w:p>
    <w:p>
      <w:pPr>
        <w:numPr>
          <w:ilvl w:val="0"/>
          <w:numId w:val="1013"/>
        </w:numPr>
        <w:pStyle w:val="Compact"/>
      </w:pPr>
      <w:r>
        <w:t xml:space="preserve">Assumed Avoided Emissions Factor for Recycled Material (compared to virgin material production): -1.0 kg CO2e/kg (approximate, represents savings from recycling)</w:t>
      </w:r>
    </w:p>
    <w:p>
      <w:pPr>
        <w:numPr>
          <w:ilvl w:val="0"/>
          <w:numId w:val="1013"/>
        </w:numPr>
        <w:pStyle w:val="Compact"/>
      </w:pPr>
      <w:r>
        <w:rPr>
          <w:bCs/>
          <w:b/>
        </w:rPr>
        <w:t xml:space="preserve">Emissions from Non-Recycled Portion:</w:t>
      </w:r>
      <w:r>
        <w:t xml:space="preserve"> </w:t>
      </w:r>
      <w:r>
        <w:t xml:space="preserve">0.8 kg * (1 - 0.80) * 1.5 kg CO2e/kg = 0.8 kg * 0.20 * 1.5 kg CO2e/kg =</w:t>
      </w:r>
      <w:r>
        <w:t xml:space="preserve"> </w:t>
      </w:r>
      <w:r>
        <w:rPr>
          <w:bCs/>
          <w:b/>
        </w:rPr>
        <w:t xml:space="preserve">0.24 kg CO2e</w:t>
      </w:r>
    </w:p>
    <w:p>
      <w:pPr>
        <w:numPr>
          <w:ilvl w:val="0"/>
          <w:numId w:val="1013"/>
        </w:numPr>
        <w:pStyle w:val="Compact"/>
      </w:pPr>
      <w:r>
        <w:rPr>
          <w:bCs/>
          <w:b/>
        </w:rPr>
        <w:t xml:space="preserve">Avoided Emissions from Recycled Portion:</w:t>
      </w:r>
      <w:r>
        <w:t xml:space="preserve"> </w:t>
      </w:r>
      <w:r>
        <w:t xml:space="preserve">0.8 kg * 0.80 * (-1.0 kg CO2e/kg) =</w:t>
      </w:r>
      <w:r>
        <w:t xml:space="preserve"> </w:t>
      </w:r>
      <w:r>
        <w:rPr>
          <w:bCs/>
          <w:b/>
        </w:rPr>
        <w:t xml:space="preserve">-0.64 kg CO2e</w:t>
      </w:r>
    </w:p>
    <w:p>
      <w:pPr>
        <w:numPr>
          <w:ilvl w:val="0"/>
          <w:numId w:val="1013"/>
        </w:numPr>
        <w:pStyle w:val="Compact"/>
      </w:pPr>
      <w:r>
        <w:rPr>
          <w:bCs/>
          <w:b/>
        </w:rPr>
        <w:t xml:space="preserve">Net End-of-Life Emissions:</w:t>
      </w:r>
      <w:r>
        <w:t xml:space="preserve"> </w:t>
      </w:r>
      <w:r>
        <w:t xml:space="preserve">0.24 kg CO2e - 0.64 kg CO2e =</w:t>
      </w:r>
      <w:r>
        <w:t xml:space="preserve"> </w:t>
      </w:r>
      <w:r>
        <w:rPr>
          <w:bCs/>
          <w:b/>
        </w:rPr>
        <w:t xml:space="preserve">-0.40 kg CO2e</w:t>
      </w:r>
      <w:r>
        <w:t xml:space="preserve"> </w:t>
      </w:r>
      <w:r>
        <w:t xml:space="preserve">(a net carbon removal/saving due to high recyclability and circular programs).</w:t>
      </w:r>
    </w:p>
    <w:p>
      <w:r>
        <w:pict>
          <v:rect style="width:0;height:1.5pt" o:hralign="center" o:hrstd="t" o:hr="t"/>
        </w:pict>
      </w:r>
    </w:p>
    <w:bookmarkEnd w:id="33"/>
    <w:bookmarkEnd w:id="34"/>
    <w:bookmarkStart w:id="35" w:name="Xaa46fba6ec6a7cebffb8324f828a9027235f949"/>
    <w:p>
      <w:pPr>
        <w:pStyle w:val="Heading2"/>
      </w:pPr>
      <w:r>
        <w:t xml:space="preserve">3. Total Product Carbon Footprint (PCF) Summary for mzvjwiqown</w:t>
      </w:r>
    </w:p>
    <w:p>
      <w:pPr>
        <w:pStyle w:val="FirstParagraph"/>
      </w:pPr>
      <w:r>
        <w:t xml:space="preserve">The total Product Carbon Footprint for one functional unit of mzvjwiqown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unit)</w:t>
            </w:r>
          </w:p>
        </w:tc>
      </w:tr>
      <w:tr>
        <w:tc>
          <w:tcPr/>
          <w:p>
            <w:pPr>
              <w:pStyle w:val="Compact"/>
              <w:jc w:val="left"/>
            </w:pPr>
            <w:r>
              <w:t xml:space="preserve">Material Acquisition (from BOM)</w:t>
            </w:r>
          </w:p>
        </w:tc>
        <w:tc>
          <w:tcPr/>
          <w:p>
            <w:pPr>
              <w:pStyle w:val="Compact"/>
              <w:jc w:val="left"/>
            </w:pPr>
            <w:r>
              <w:t xml:space="preserve">Scope 3, Category 1</w:t>
            </w:r>
          </w:p>
        </w:tc>
        <w:tc>
          <w:tcPr/>
          <w:p>
            <w:pPr>
              <w:pStyle w:val="Compact"/>
              <w:jc w:val="left"/>
            </w:pPr>
            <w:r>
              <w:t xml:space="preserve">7.600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3.300</w:t>
            </w:r>
          </w:p>
        </w:tc>
      </w:tr>
      <w:tr>
        <w:tc>
          <w:tcPr/>
          <w:p>
            <w:pPr>
              <w:pStyle w:val="Compact"/>
              <w:jc w:val="left"/>
            </w:pPr>
            <w:r>
              <w:t xml:space="preserve">Transportation (Main Leg - Upstream)</w:t>
            </w:r>
          </w:p>
        </w:tc>
        <w:tc>
          <w:tcPr/>
          <w:p>
            <w:pPr>
              <w:pStyle w:val="Compact"/>
              <w:jc w:val="left"/>
            </w:pPr>
            <w:r>
              <w:t xml:space="preserve">Scope 3, Category 4</w:t>
            </w:r>
          </w:p>
        </w:tc>
        <w:tc>
          <w:tcPr/>
          <w:p>
            <w:pPr>
              <w:pStyle w:val="Compact"/>
              <w:jc w:val="left"/>
            </w:pPr>
            <w:r>
              <w:t xml:space="preserve">0.160</w:t>
            </w:r>
          </w:p>
        </w:tc>
      </w:tr>
      <w:tr>
        <w:tc>
          <w:tcPr/>
          <w:p>
            <w:pPr>
              <w:pStyle w:val="Compact"/>
              <w:jc w:val="left"/>
            </w:pPr>
            <w:r>
              <w:t xml:space="preserve">Transportation (Last-Mile - Downstream)</w:t>
            </w:r>
          </w:p>
        </w:tc>
        <w:tc>
          <w:tcPr/>
          <w:p>
            <w:pPr>
              <w:pStyle w:val="Compact"/>
              <w:jc w:val="left"/>
            </w:pPr>
            <w:r>
              <w:t xml:space="preserve">Scope 3, Category 9</w:t>
            </w:r>
          </w:p>
        </w:tc>
        <w:tc>
          <w:tcPr/>
          <w:p>
            <w:pPr>
              <w:pStyle w:val="Compact"/>
              <w:jc w:val="left"/>
            </w:pPr>
            <w:r>
              <w:t xml:space="preserve">0.032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28.000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-0.400</w:t>
            </w:r>
          </w:p>
        </w:tc>
      </w:tr>
      <w:tr>
        <w:tc>
          <w:tcPr>
            <w:gridSpan w:val="2"/>
          </w:tcPr>
          <w:p>
            <w:pPr>
              <w:pStyle w:val="Compact"/>
              <w:jc w:val="right"/>
            </w:pPr>
            <w:r>
              <w:t xml:space="preserve">TOTAL PRODUCT CARBON FOOTPRINT (PCF)</w:t>
            </w:r>
          </w:p>
        </w:tc>
        <w:tc>
          <w:tcPr/>
          <w:p>
            <w:pPr>
              <w:pStyle w:val="Compact"/>
              <w:jc w:val="left"/>
            </w:pPr>
            <w:r>
              <w:t xml:space="preserve">38.692 kg CO2e</w:t>
            </w:r>
          </w:p>
        </w:tc>
      </w:tr>
    </w:tbl>
    <w:p>
      <w:r>
        <w:pict>
          <v:rect style="width:0;height:1.5pt" o:hralign="center" o:hrstd="t" o:hr="t"/>
        </w:pict>
      </w:r>
    </w:p>
    <w:bookmarkEnd w:id="35"/>
    <w:bookmarkStart w:id="41" w:name="review-report---hotspots-and-reliability"/>
    <w:p>
      <w:pPr>
        <w:pStyle w:val="Heading2"/>
      </w:pPr>
      <w:r>
        <w:t xml:space="preserve">4. Review &amp; Report - Hotspots and Reliability</w:t>
      </w:r>
    </w:p>
    <w:bookmarkStart w:id="36" w:name="emission-hotspots"/>
    <w:p>
      <w:pPr>
        <w:pStyle w:val="Heading3"/>
      </w:pPr>
      <w:r>
        <w:t xml:space="preserve">4.1. Emission Hotspots</w:t>
      </w:r>
    </w:p>
    <w:p>
      <w:pPr>
        <w:pStyle w:val="FirstParagraph"/>
      </w:pPr>
      <w:r>
        <w:t xml:space="preserve">The analysis clearly identifies the following major emission hotspots for mzvjwiqown:</w:t>
      </w:r>
    </w:p>
    <w:p>
      <w:pPr>
        <w:numPr>
          <w:ilvl w:val="0"/>
          <w:numId w:val="1014"/>
        </w:numPr>
        <w:pStyle w:val="Compact"/>
      </w:pPr>
      <w:r>
        <w:rPr>
          <w:bCs/>
          <w:b/>
        </w:rPr>
        <w:t xml:space="preserve">Use Phase (28.0 kg CO2e):</w:t>
      </w:r>
      <w:r>
        <w:t xml:space="preserve"> </w:t>
      </w:r>
      <w:r>
        <w:t xml:space="preserve">This constitutes the largest portion of the PCF, primarily due to the energy consumption of the product over its 5-year lifespan. This highlights the importance of optimizing energy efficiency during product design and educating users on sustainable usage.</w:t>
      </w:r>
    </w:p>
    <w:p>
      <w:pPr>
        <w:numPr>
          <w:ilvl w:val="0"/>
          <w:numId w:val="1014"/>
        </w:numPr>
        <w:pStyle w:val="Compact"/>
      </w:pPr>
      <w:r>
        <w:rPr>
          <w:bCs/>
          <w:b/>
        </w:rPr>
        <w:t xml:space="preserve">Material Acquisition (7.6 kg CO2e):</w:t>
      </w:r>
      <w:r>
        <w:t xml:space="preserve"> </w:t>
      </w:r>
      <w:r>
        <w:t xml:space="preserve">The raw materials, as detailed in the BOM, contribute significantly to the upstream footprint. Focusing on lower-carbon materials, recycled content, and efficient material use can reduce this impact.</w:t>
      </w:r>
    </w:p>
    <w:p>
      <w:pPr>
        <w:numPr>
          <w:ilvl w:val="0"/>
          <w:numId w:val="1014"/>
        </w:numPr>
        <w:pStyle w:val="Compact"/>
      </w:pPr>
      <w:r>
        <w:rPr>
          <w:bCs/>
          <w:b/>
        </w:rPr>
        <w:t xml:space="preserve">Production (3.3 kg CO2e):</w:t>
      </w:r>
      <w:r>
        <w:t xml:space="preserve"> </w:t>
      </w:r>
      <w:r>
        <w:t xml:space="preserve">While significant, the high renewable energy usage (60%) already mitigates a substantial portion of the production emissions. Further increasing renewable energy adoption or improving energy efficiency at the manufacturing plant would yield additional benefits.</w:t>
      </w:r>
    </w:p>
    <w:bookmarkEnd w:id="36"/>
    <w:bookmarkStart w:id="37" w:name="reliability-and-limitations"/>
    <w:p>
      <w:pPr>
        <w:pStyle w:val="Heading3"/>
      </w:pPr>
      <w:r>
        <w:t xml:space="preserve">4.2. Reliability and Limitations</w:t>
      </w:r>
    </w:p>
    <w:p>
      <w:pPr>
        <w:pStyle w:val="FirstParagraph"/>
      </w:pPr>
      <w:r>
        <w:t xml:space="preserve">The reliability of this report is high due to the utilization of provided primary data for key parameters and adherence to the GHG Protocol. However, some limitations and assumptions are inherent:</w:t>
      </w:r>
    </w:p>
    <w:p>
      <w:pPr>
        <w:numPr>
          <w:ilvl w:val="0"/>
          <w:numId w:val="1015"/>
        </w:numPr>
        <w:pStyle w:val="Compact"/>
      </w:pPr>
      <w:r>
        <w:rPr>
          <w:bCs/>
          <w:b/>
        </w:rPr>
        <w:t xml:space="preserve">Generic Emission Factors:</w:t>
      </w:r>
      <w:r>
        <w:t xml:space="preserve"> </w:t>
      </w:r>
      <w:r>
        <w:t xml:space="preserve">While industry-standard, generic emission factors (e.g., for transport, grid electricity) may not perfectly reflect specific supplier or regional conditions.</w:t>
      </w:r>
    </w:p>
    <w:p>
      <w:pPr>
        <w:numPr>
          <w:ilvl w:val="0"/>
          <w:numId w:val="1015"/>
        </w:numPr>
        <w:pStyle w:val="Compact"/>
      </w:pPr>
      <w:r>
        <w:rPr>
          <w:bCs/>
          <w:b/>
        </w:rPr>
        <w:t xml:space="preserve">Assumed Product Weight:</w:t>
      </w:r>
      <w:r>
        <w:t xml:space="preserve"> </w:t>
      </w:r>
      <w:r>
        <w:t xml:space="preserve">The product weight for transport and EoL was derived from the BOM quantities assuming kg units, which is a reasonable approximation but not explicitly stated for the whole product.</w:t>
      </w:r>
    </w:p>
    <w:p>
      <w:pPr>
        <w:numPr>
          <w:ilvl w:val="0"/>
          <w:numId w:val="1015"/>
        </w:numPr>
        <w:pStyle w:val="Compact"/>
      </w:pPr>
      <w:r>
        <w:rPr>
          <w:bCs/>
          <w:b/>
        </w:rPr>
        <w:t xml:space="preserve">Transport Mode Details:</w:t>
      </w:r>
      <w:r>
        <w:t xml:space="preserve"> </w:t>
      </w:r>
      <w:r>
        <w:t xml:space="preserve">"Select Mode" and "Delivery Type" were interpreted as typical sea and road freight, which provides a good estimate but specific carrier data would be more precise.</w:t>
      </w:r>
    </w:p>
    <w:p>
      <w:pPr>
        <w:numPr>
          <w:ilvl w:val="0"/>
          <w:numId w:val="1015"/>
        </w:numPr>
        <w:pStyle w:val="Compact"/>
      </w:pPr>
      <w:r>
        <w:rPr>
          <w:bCs/>
          <w:b/>
        </w:rPr>
        <w:t xml:space="preserve">LSR Application:</w:t>
      </w:r>
      <w:r>
        <w:t xml:space="preserve"> </w:t>
      </w:r>
      <w:r>
        <w:t xml:space="preserve">While the LSR standard is acknowledged, specific land-use change data was not provided for raw materials, so its direct impact modeling is limited to the avoided emissions from recycling contributing to removals.</w:t>
      </w:r>
    </w:p>
    <w:p>
      <w:pPr>
        <w:numPr>
          <w:ilvl w:val="0"/>
          <w:numId w:val="1015"/>
        </w:numPr>
        <w:pStyle w:val="Compact"/>
      </w:pPr>
      <w:r>
        <w:rPr>
          <w:bCs/>
          <w:b/>
        </w:rPr>
        <w:t xml:space="preserve">Scope 3 Coverage:</w:t>
      </w:r>
      <w:r>
        <w:t xml:space="preserve"> </w:t>
      </w:r>
      <w:r>
        <w:t xml:space="preserve">While targeting 95% coverage, some minor Scope 3 categories might be excluded if data was unavailable (e.g., business travel, employee commuting). However, the major categories relevant to a product\'s lifecycle are covered.</w:t>
      </w:r>
    </w:p>
    <w:bookmarkEnd w:id="37"/>
    <w:bookmarkStart w:id="40" w:name="recommendations-for-hvnmdiueht"/>
    <w:p>
      <w:pPr>
        <w:pStyle w:val="Heading3"/>
      </w:pPr>
      <w:r>
        <w:t xml:space="preserve">4.3. Recommendations for hvnmdiueht</w:t>
      </w:r>
    </w:p>
    <w:p>
      <w:pPr>
        <w:numPr>
          <w:ilvl w:val="0"/>
          <w:numId w:val="1016"/>
        </w:numPr>
        <w:pStyle w:val="Compact"/>
      </w:pPr>
      <w:r>
        <w:rPr>
          <w:bCs/>
          <w:b/>
        </w:rPr>
        <w:t xml:space="preserve">Energy Efficiency in Use:</w:t>
      </w:r>
      <w:r>
        <w:t xml:space="preserve"> </w:t>
      </w:r>
      <w:r>
        <w:t xml:space="preserve">Prioritize design improvements to reduce the energy consumption of mzvjwiqown during its use phase. Explore smart features or low-power modes.</w:t>
      </w:r>
    </w:p>
    <w:p>
      <w:pPr>
        <w:numPr>
          <w:ilvl w:val="0"/>
          <w:numId w:val="1016"/>
        </w:numPr>
        <w:pStyle w:val="Compact"/>
      </w:pPr>
      <w:r>
        <w:rPr>
          <w:bCs/>
          <w:b/>
        </w:rPr>
        <w:t xml:space="preserve">Renewable Energy Sourcing:</w:t>
      </w:r>
      <w:r>
        <w:t xml:space="preserve"> </w:t>
      </w:r>
      <w:r>
        <w:t xml:space="preserve">Continue to increase the percentage of renewable energy used in production facilities in China to further reduce Scope 2 emissions.</w:t>
      </w:r>
    </w:p>
    <w:p>
      <w:pPr>
        <w:numPr>
          <w:ilvl w:val="0"/>
          <w:numId w:val="1016"/>
        </w:numPr>
        <w:pStyle w:val="Compact"/>
      </w:pPr>
      <w:r>
        <w:rPr>
          <w:bCs/>
          <w:b/>
        </w:rPr>
        <w:t xml:space="preserve">Material Optimization:</w:t>
      </w:r>
      <w:r>
        <w:t xml:space="preserve"> </w:t>
      </w:r>
      <w:r>
        <w:t xml:space="preserve">Investigate alternative, lower-carbon materials or increase the recycled content for components like the aluminum casing and plastic frame.</w:t>
      </w:r>
    </w:p>
    <w:p>
      <w:pPr>
        <w:numPr>
          <w:ilvl w:val="0"/>
          <w:numId w:val="1016"/>
        </w:numPr>
        <w:pStyle w:val="Compact"/>
      </w:pPr>
      <w:r>
        <w:rPr>
          <w:bCs/>
          <w:b/>
        </w:rPr>
        <w:t xml:space="preserve">Logistics Optimization:</w:t>
      </w:r>
      <w:r>
        <w:t xml:space="preserve"> </w:t>
      </w:r>
      <w:r>
        <w:t xml:space="preserve">Explore more efficient transport routes, modes (e.g., rail for intra-Europe), and consolidation strategies for both inbound and outbound logistics.</w:t>
      </w:r>
    </w:p>
    <w:p>
      <w:pPr>
        <w:numPr>
          <w:ilvl w:val="0"/>
          <w:numId w:val="1016"/>
        </w:numPr>
        <w:pStyle w:val="Compact"/>
      </w:pPr>
      <w:r>
        <w:rPr>
          <w:bCs/>
          <w:b/>
        </w:rPr>
        <w:t xml:space="preserve">Circular Economy Enhancement:</w:t>
      </w:r>
      <w:r>
        <w:t xml:space="preserve"> </w:t>
      </w:r>
      <w:r>
        <w:t xml:space="preserve">Capitalize on the existing robust take-back program by promoting product longevity, repairability, and higher-value recycling streams.</w:t>
      </w:r>
    </w:p>
    <w:p>
      <w:r>
        <w:pict>
          <v:rect style="width:0;height:1.5pt" o:hralign="center" o:hrstd="t" o:hr="t"/>
        </w:pict>
      </w:r>
    </w:p>
    <w:p>
      <w:pPr>
        <w:pStyle w:val="FirstParagraph"/>
      </w:pPr>
      <w:r>
        <w:t xml:space="preserve">Confidential - Internal Use Only | Page</w:t>
      </w:r>
      <w:r>
        <w:t xml:space="preserve"> </w:t>
      </w:r>
      <w:bookmarkStart w:id="38" w:name="page-number"/>
      <w:bookmarkEnd w:id="38"/>
      <w:r>
        <w:t xml:space="preserve"> </w:t>
      </w:r>
      <w:r>
        <w:t xml:space="preserve">of</w:t>
      </w:r>
      <w:r>
        <w:t xml:space="preserve"> </w:t>
      </w:r>
      <w:bookmarkStart w:id="39" w:name="total-pages"/>
      <w:bookmarkEnd w:id="39"/>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mzvjwiqown</dc:title>
  <dc:creator/>
  <dc:description>Detailed Product Carbon Footprint (PCF) analysis report for product mzvjwiqown, prepared by svzmimqhld for hvnmdiueht, adhering to GHG Protocol standards and 2026 LSR updates.</dc:description>
  <cp:keywords/>
  <dcterms:created xsi:type="dcterms:W3CDTF">2026-05-30T16:53:23Z</dcterms:created>
  <dcterms:modified xsi:type="dcterms:W3CDTF">2026-05-30T16:53:23Z</dcterms:modified>
</cp:coreProperties>
</file>

<file path=docProps/custom.xml><?xml version="1.0" encoding="utf-8"?>
<Properties xmlns="http://schemas.openxmlformats.org/officeDocument/2006/custom-properties" xmlns:vt="http://schemas.openxmlformats.org/officeDocument/2006/docPropsVTypes"/>
</file>