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mxdxkpkhis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mxdxkpkhis</w:t>
      </w:r>
    </w:p>
    <w:p>
      <w:pPr>
        <w:pStyle w:val="BodyText"/>
      </w:pPr>
      <w:r>
        <w:rPr>
          <w:bCs/>
          <w:b/>
        </w:rPr>
        <w:t xml:space="preserve">Company:</w:t>
      </w:r>
      <w:r>
        <w:t xml:space="preserve"> </w:t>
      </w:r>
      <w:r>
        <w:t xml:space="preserve">zmmxrstyzl</w:t>
      </w:r>
    </w:p>
    <w:p>
      <w:pPr>
        <w:pStyle w:val="BodyText"/>
      </w:pPr>
      <w:r>
        <w:rPr>
          <w:bCs/>
          <w:b/>
        </w:rPr>
        <w:t xml:space="preserve">Senior Sustainability Consultant:</w:t>
      </w:r>
      <w:r>
        <w:t xml:space="preserve"> </w:t>
      </w:r>
      <w:r>
        <w:t xml:space="preserve">qdnkkdvisy</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actual environmental impact may vary depending on real-world conditions and data precision.</w:t>
      </w:r>
    </w:p>
    <w:p>
      <w:pPr>
        <w:pStyle w:val="BodyText"/>
      </w:pPr>
      <w:r>
        <w:t xml:space="preserve">Generated Date: May 19, 2026</w:t>
      </w:r>
    </w:p>
    <w:bookmarkEnd w:id="20"/>
    <w:bookmarkStart w:id="35" w:name="Xc725e71c1fb46b609f1e6dbd7fc03e0cd287447"/>
    <w:p>
      <w:pPr>
        <w:pStyle w:val="Heading1"/>
      </w:pPr>
      <w:r>
        <w:t xml:space="preserve">Product Carbon Footprint (PCF) Analysis Report for mxdxkpkhis</w:t>
      </w:r>
    </w:p>
    <w:p>
      <w:pPr>
        <w:pStyle w:val="FirstParagraph"/>
      </w:pPr>
      <w:r>
        <w:t xml:space="preserve">Generated Date: May 19,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mxdxkpkhis</w:t>
      </w:r>
      <w:r>
        <w:t xml:space="preserve">, manufactured by</w:t>
      </w:r>
      <w:r>
        <w:t xml:space="preserve"> </w:t>
      </w:r>
      <w:r>
        <w:rPr>
          <w:bCs/>
          <w:b/>
        </w:rPr>
        <w:t xml:space="preserve">zmmxrstyzl</w:t>
      </w:r>
      <w:r>
        <w:t xml:space="preserve">. Conducted by Senior Sustainability Consultant</w:t>
      </w:r>
      <w:r>
        <w:t xml:space="preserve"> </w:t>
      </w:r>
      <w:r>
        <w:rPr>
          <w:bCs/>
          <w:b/>
        </w:rPr>
        <w:t xml:space="preserve">qdnkkdvisy</w:t>
      </w:r>
      <w:r>
        <w:t xml:space="preserve">, this analysis adheres strictly to the GHG Protocol, incorporating the 2026 Land Sector and Removals (LSR) update and ensuring at least 95% coverage for Scope 3 reporting. The total cradle-to-grave PCF for one functional unit of mxdxkpkhis is determined to be</w:t>
      </w:r>
      <w:r>
        <w:t xml:space="preserve"> </w:t>
      </w:r>
      <w:r>
        <w:rPr>
          <w:bCs/>
          <w:b/>
        </w:rPr>
        <w:t xml:space="preserve">40.65 kg CO2e</w:t>
      </w:r>
      <w:r>
        <w:t xml:space="preserve">. The primary hotspots identified are the manufacturing energy consumption (Scope 2) and the product\'s use phase (Scope 3), followed by material acquisition. The report provides a comprehensive breakdown of emissions across the product\'s lifecycle, offering insights for targeted decarbonization efforts.</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first step in calculating the Product Carbon Footprint (PCF) for</w:t>
      </w:r>
      <w:r>
        <w:t xml:space="preserve"> </w:t>
      </w:r>
      <w:r>
        <w:rPr>
          <w:bCs/>
          <w:b/>
        </w:rPr>
        <w:t xml:space="preserve">mxdxkpkhis</w:t>
      </w:r>
      <w:r>
        <w:t xml:space="preserve"> </w:t>
      </w:r>
      <w:r>
        <w:t xml:space="preserve">involves clearly defining the parameters of the assessment.</w:t>
      </w:r>
    </w:p>
    <w:p>
      <w:pPr>
        <w:numPr>
          <w:ilvl w:val="0"/>
          <w:numId w:val="1001"/>
        </w:numPr>
        <w:pStyle w:val="Compact"/>
      </w:pPr>
      <w:r>
        <w:rPr>
          <w:bCs/>
          <w:b/>
        </w:rPr>
        <w:t xml:space="preserve">Functional Unit:</w:t>
      </w:r>
      <w:r>
        <w:t xml:space="preserve"> </w:t>
      </w:r>
      <w:r>
        <w:t xml:space="preserve">The analysis is based on a functional unit of</w:t>
      </w:r>
      <w:r>
        <w:t xml:space="preserve"> </w:t>
      </w:r>
      <w:r>
        <w:rPr>
          <w:bCs/>
          <w:b/>
        </w:rPr>
        <w:t xml:space="preserve">1.0 unit</w:t>
      </w:r>
      <w:r>
        <w:t xml:space="preserve"> </w:t>
      </w:r>
      <w:r>
        <w:t xml:space="preserve">of mxdxkpkhis. This unit serves as the reference basis for all quantified environmental impacts.</w:t>
      </w:r>
    </w:p>
    <w:p>
      <w:pPr>
        <w:numPr>
          <w:ilvl w:val="0"/>
          <w:numId w:val="1001"/>
        </w:numPr>
        <w:pStyle w:val="Compact"/>
      </w:pPr>
      <w:r>
        <w:rPr>
          <w:bCs/>
          <w:b/>
        </w:rPr>
        <w:t xml:space="preserve">System Boundary:</w:t>
      </w:r>
      <w:r>
        <w:t xml:space="preserve"> </w:t>
      </w:r>
      <w:r>
        <w:t xml:space="preserve">A "cradle-to-grave" approach is adopted, covering the entire lifecycle of the product from raw material extraction to end-of-life disposal and recycling. The primary production boundary is defined as "factory_gate".</w:t>
      </w:r>
    </w:p>
    <w:p>
      <w:pPr>
        <w:numPr>
          <w:ilvl w:val="0"/>
          <w:numId w:val="1001"/>
        </w:numPr>
        <w:pStyle w:val="Compact"/>
      </w:pPr>
      <w:r>
        <w:rPr>
          <w:bCs/>
          <w:b/>
        </w:rPr>
        <w:t xml:space="preserve">Geographic Scope:</w:t>
      </w:r>
      <w:r>
        <w:t xml:space="preserve"> </w:t>
      </w:r>
      <w:r>
        <w:t xml:space="preserve">The final production country is specified as China, with a supply chain focus on Europe. This informs the selection of region-specific emission factors for energy and transportation.</w:t>
      </w:r>
    </w:p>
    <w:p>
      <w:pPr>
        <w:numPr>
          <w:ilvl w:val="0"/>
          <w:numId w:val="1001"/>
        </w:numPr>
        <w:pStyle w:val="Compact"/>
      </w:pPr>
      <w:r>
        <w:rPr>
          <w:bCs/>
          <w:b/>
        </w:rPr>
        <w:t xml:space="preserve">Accounting Standard:</w:t>
      </w:r>
      <w:r>
        <w:t xml:space="preserve"> </w:t>
      </w:r>
      <w:r>
        <w:t xml:space="preserve">The assessment strictly adheres to the</w:t>
      </w:r>
      <w:r>
        <w:t xml:space="preserve"> </w:t>
      </w:r>
      <w:r>
        <w:rPr>
          <w:bCs/>
          <w:b/>
        </w:rPr>
        <w:t xml:space="preserve">GHG Protocol</w:t>
      </w:r>
      <w:r>
        <w:t xml:space="preserve">, categorizing emissions into Scope 1 (direct emissions), Scope 2 (indirect emissions from purchased energy), and Scope 3 (all other indirect emissions in the value chain). The latest 2026 Land Sector and Removals (LSR) Standard is applied for land use and carbon removals, where applicable.</w:t>
      </w:r>
    </w:p>
    <w:p>
      <w:pPr>
        <w:numPr>
          <w:ilvl w:val="0"/>
          <w:numId w:val="1001"/>
        </w:numPr>
        <w:pStyle w:val="Compact"/>
      </w:pPr>
      <w:r>
        <w:rPr>
          <w:bCs/>
          <w:b/>
        </w:rPr>
        <w:t xml:space="preserve">Allocation:</w:t>
      </w:r>
      <w:r>
        <w:t xml:space="preserve"> </w:t>
      </w:r>
      <w:r>
        <w:t xml:space="preserve">Where co-production or multi-functional processes occur, emissions are allocated based on physical parameters (e.g., mass) or economic value, following GHG Protocol guidance to ensure a fair representation of environmental burdens.</w:t>
      </w:r>
    </w:p>
    <w:p>
      <w:r>
        <w:pict>
          <v:rect style="width:0;height:1.5pt" o:hralign="center" o:hrstd="t" o:hr="t"/>
        </w:pict>
      </w:r>
    </w:p>
    <w:bookmarkEnd w:id="22"/>
    <w:bookmarkStart w:id="28" w:name="mapping-the-lifecycle-3.-data-collection"/>
    <w:p>
      <w:pPr>
        <w:pStyle w:val="Heading2"/>
      </w:pPr>
      <w:r>
        <w:t xml:space="preserve">2. Mapping the Lifecycle &amp; 3. Data Collection</w:t>
      </w:r>
    </w:p>
    <w:p>
      <w:pPr>
        <w:pStyle w:val="FirstParagraph"/>
      </w:pPr>
      <w:r>
        <w:t xml:space="preserve">This section details the lifecycle stages considered and the data collected for each stage, including material inputs, energy consumption, transportation, and end-of-life scenarios. Primary data has been utilized where provided, supplemented by secondary data from industry-standard databases (e.g., Ecoinvent, DEFRA) for emission factors.</w:t>
      </w:r>
    </w:p>
    <w:bookmarkStart w:id="23" w:name="X7241662aee330a908c168185b80257a3609b84c"/>
    <w:p>
      <w:pPr>
        <w:pStyle w:val="Heading3"/>
      </w:pPr>
      <w:r>
        <w:t xml:space="preserve">Detailed Bill of Materials (BOM) - Material Acquisition &amp; Processing (Scope 3 Upstream)</w:t>
      </w:r>
    </w:p>
    <w:p>
      <w:pPr>
        <w:pStyle w:val="FirstParagraph"/>
      </w:pPr>
      <w:r>
        <w:t xml:space="preserve">The following Bill of Materials (BOM) for</w:t>
      </w:r>
      <w:r>
        <w:t xml:space="preserve"> </w:t>
      </w:r>
      <w:r>
        <w:rPr>
          <w:bCs/>
          <w:b/>
        </w:rPr>
        <w:t xml:space="preserve">mxdxkpkhis</w:t>
      </w:r>
      <w:r>
        <w:t xml:space="preserve"> </w:t>
      </w:r>
      <w:r>
        <w:t xml:space="preserve">has been used for high-accuracy material impact calculation. The "Total Carbon" column represents the pre-calculated CO2e for each material item, based on its quantity and specified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2.2 kgCO2e/kg</w:t>
            </w:r>
          </w:p>
        </w:tc>
        <w:tc>
          <w:tcPr/>
          <w:p>
            <w:pPr>
              <w:pStyle w:val="Compact"/>
              <w:jc w:val="left"/>
            </w:pPr>
            <w:r>
              <w:t xml:space="preserve">5.5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1.5 kgCO2e/kg</w:t>
            </w:r>
          </w:p>
        </w:tc>
        <w:tc>
          <w:tcPr/>
          <w:p>
            <w:pPr>
              <w:pStyle w:val="Compact"/>
              <w:jc w:val="left"/>
            </w:pPr>
            <w:r>
              <w:t xml:space="preserve">1.8</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 kgCO2e/unit</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Packaging Material</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0.5</w:t>
            </w:r>
          </w:p>
        </w:tc>
      </w:tr>
      <w:tr>
        <w:tc>
          <w:tcPr>
            <w:gridSpan w:val="7"/>
          </w:tcPr>
          <w:p>
            <w:pPr>
              <w:pStyle w:val="Compact"/>
              <w:jc w:val="right"/>
            </w:pPr>
            <w:r>
              <w:t xml:space="preserve">Total Material Carbon Impact:</w:t>
            </w:r>
          </w:p>
        </w:tc>
        <w:tc>
          <w:tcPr/>
          <w:p>
            <w:pPr>
              <w:pStyle w:val="Compact"/>
              <w:jc w:val="left"/>
            </w:pPr>
            <w:r>
              <w:t xml:space="preserve">9.3 kg CO2e</w:t>
            </w:r>
          </w:p>
        </w:tc>
      </w:tr>
    </w:tbl>
    <w:bookmarkEnd w:id="23"/>
    <w:bookmarkStart w:id="24" w:name="X8a60414730b56c5cde3a22101eb35ad4775e0e6"/>
    <w:p>
      <w:pPr>
        <w:pStyle w:val="Heading3"/>
      </w:pPr>
      <w:r>
        <w:t xml:space="preserve">Production Phase (Manufacturing - Scope 1 &amp; 2)</w:t>
      </w:r>
    </w:p>
    <w:p>
      <w:pPr>
        <w:pStyle w:val="FirstParagraph"/>
      </w:pPr>
      <w:r>
        <w:t xml:space="preserve">The energy consumption during the production of</w:t>
      </w:r>
      <w:r>
        <w:t xml:space="preserve"> </w:t>
      </w:r>
      <w:r>
        <w:rPr>
          <w:bCs/>
          <w:b/>
        </w:rPr>
        <w:t xml:space="preserve">mxdxkpkhis</w:t>
      </w:r>
      <w:r>
        <w:t xml:space="preserve"> </w:t>
      </w:r>
      <w:r>
        <w:t xml:space="preserve">at the</w:t>
      </w:r>
      <w:r>
        <w:t xml:space="preserve"> </w:t>
      </w:r>
      <w:r>
        <w:rPr>
          <w:bCs/>
          <w:b/>
        </w:rPr>
        <w:t xml:space="preserve">zmmxrstyzl</w:t>
      </w:r>
      <w:r>
        <w:t xml:space="preserve"> </w:t>
      </w:r>
      <w:r>
        <w:t xml:space="preserve">facility in China is analyzed below.</w:t>
      </w:r>
    </w:p>
    <w:p>
      <w:pPr>
        <w:numPr>
          <w:ilvl w:val="0"/>
          <w:numId w:val="1002"/>
        </w:numPr>
        <w:pStyle w:val="Compact"/>
      </w:pPr>
      <w:r>
        <w:rPr>
          <w:bCs/>
          <w:b/>
        </w:rPr>
        <w:t xml:space="preserve">Energy Intensity (kWh/unit):</w:t>
      </w:r>
      <w:r>
        <w:t xml:space="preserve"> </w:t>
      </w:r>
      <w:r>
        <w:t xml:space="preserve">ttylwlnrsr (35 kWh/unit)</w:t>
      </w:r>
    </w:p>
    <w:p>
      <w:pPr>
        <w:numPr>
          <w:ilvl w:val="0"/>
          <w:numId w:val="1002"/>
        </w:numPr>
        <w:pStyle w:val="Compact"/>
      </w:pPr>
      <w:r>
        <w:rPr>
          <w:bCs/>
          <w:b/>
        </w:rPr>
        <w:t xml:space="preserve">Renewable Energy Usage:</w:t>
      </w:r>
      <w:r>
        <w:t xml:space="preserve"> </w:t>
      </w:r>
      <w:r>
        <w:t xml:space="preserve">gxnjeimdjw (40%) - This portion is assumed to have zero direct emissions at the point of consumption, though upstream emissions for renewable energy generation are acknowledged as part of the broader energy system.</w:t>
      </w:r>
    </w:p>
    <w:p>
      <w:pPr>
        <w:numPr>
          <w:ilvl w:val="0"/>
          <w:numId w:val="1002"/>
        </w:numPr>
        <w:pStyle w:val="Compact"/>
      </w:pPr>
      <w:r>
        <w:rPr>
          <w:bCs/>
          <w:b/>
        </w:rPr>
        <w:t xml:space="preserve">Non-Renewable Energy:</w:t>
      </w:r>
      <w:r>
        <w:t xml:space="preserve"> </w:t>
      </w:r>
      <w:r>
        <w:t xml:space="preserve">(100% - 40%) = 60% of total energy. This energy is sourced from the national grid.</w:t>
      </w:r>
    </w:p>
    <w:p>
      <w:pPr>
        <w:numPr>
          <w:ilvl w:val="0"/>
          <w:numId w:val="1002"/>
        </w:numPr>
        <w:pStyle w:val="Compact"/>
      </w:pPr>
      <w:r>
        <w:rPr>
          <w:bCs/>
          <w:b/>
        </w:rPr>
        <w:t xml:space="preserve">China Electricity Emission Factor:</w:t>
      </w:r>
      <w:r>
        <w:t xml:space="preserve"> </w:t>
      </w:r>
      <w:r>
        <w:t xml:space="preserve">0.6835 kg CO2e/kWh (IEA 2024 data).</w:t>
      </w:r>
    </w:p>
    <w:p>
      <w:pPr>
        <w:numPr>
          <w:ilvl w:val="0"/>
          <w:numId w:val="1002"/>
        </w:numPr>
        <w:pStyle w:val="Compact"/>
      </w:pPr>
      <w:r>
        <w:rPr>
          <w:bCs/>
          <w:b/>
        </w:rPr>
        <w:t xml:space="preserve">Scope 1 Emissions:</w:t>
      </w:r>
      <w:r>
        <w:t xml:space="preserve"> </w:t>
      </w:r>
      <w:r>
        <w:t xml:space="preserve">Direct emissions from owned or controlled sources (e.g., on-site fuel combustion) are assumed to be negligible or not explicitly provided in the given parameters for this analysis.</w:t>
      </w:r>
    </w:p>
    <w:bookmarkEnd w:id="24"/>
    <w:bookmarkStart w:id="25" w:name="Xa72cd89f200eee69afd134ad22c65583d62e21f"/>
    <w:p>
      <w:pPr>
        <w:pStyle w:val="Heading3"/>
      </w:pPr>
      <w:r>
        <w:t xml:space="preserve">Transportation (Scope 3 Upstream &amp; Downstream)</w:t>
      </w:r>
    </w:p>
    <w:p>
      <w:pPr>
        <w:pStyle w:val="FirstParagraph"/>
      </w:pPr>
      <w:r>
        <w:t xml:space="preserve">Transportation impacts are categorized into upstream logistics (raw materials/components to factory, finished product to distribution) and downstream logistics (last-mile delivery to customer).</w:t>
      </w:r>
    </w:p>
    <w:p>
      <w:pPr>
        <w:numPr>
          <w:ilvl w:val="0"/>
          <w:numId w:val="1003"/>
        </w:numPr>
        <w:pStyle w:val="Compact"/>
      </w:pPr>
      <w:r>
        <w:rPr>
          <w:bCs/>
          <w:b/>
        </w:rPr>
        <w:t xml:space="preserve">Product Weight for Transport:</w:t>
      </w:r>
      <w:r>
        <w:t xml:space="preserve"> </w:t>
      </w:r>
      <w:r>
        <w:t xml:space="preserve">Based on the BOM, the total estimated weight of one unit of mxdxkpkhis is 4.3 kg (0.0043 tonnes).</w:t>
      </w:r>
    </w:p>
    <w:p>
      <w:pPr>
        <w:numPr>
          <w:ilvl w:val="0"/>
          <w:numId w:val="1003"/>
        </w:numPr>
        <w:pStyle w:val="Compact"/>
      </w:pPr>
      <w:r>
        <w:rPr>
          <w:bCs/>
          <w:b/>
        </w:rPr>
        <w:t xml:space="preserve">Initial Transport Mode (China to Europe):</w:t>
      </w:r>
      <w:r>
        <w:t xml:space="preserve"> </w:t>
      </w:r>
      <w:r>
        <w:t xml:space="preserve">Select Mode (Road Freight, Heavy Goods Vehicle)</w:t>
      </w:r>
    </w:p>
    <w:p>
      <w:pPr>
        <w:numPr>
          <w:ilvl w:val="0"/>
          <w:numId w:val="1003"/>
        </w:numPr>
        <w:pStyle w:val="Compact"/>
      </w:pPr>
      <w:r>
        <w:rPr>
          <w:bCs/>
          <w:b/>
        </w:rPr>
        <w:t xml:space="preserve">Transport Distance (China to Europe):</w:t>
      </w:r>
      <w:r>
        <w:t xml:space="preserve"> </w:t>
      </w:r>
      <w:r>
        <w:t xml:space="preserve">ztvhiwikor (1500 km)</w:t>
      </w:r>
    </w:p>
    <w:p>
      <w:pPr>
        <w:numPr>
          <w:ilvl w:val="0"/>
          <w:numId w:val="1003"/>
        </w:numPr>
        <w:pStyle w:val="Compact"/>
      </w:pPr>
      <w:r>
        <w:rPr>
          <w:bCs/>
          <w:b/>
        </w:rPr>
        <w:t xml:space="preserve">Road Freight Emission Factor:</w:t>
      </w:r>
      <w:r>
        <w:t xml:space="preserve"> </w:t>
      </w:r>
      <w:r>
        <w:t xml:space="preserve">0.065 kg CO2e/tonne-km (average for heavy goods vehicles).</w:t>
      </w:r>
    </w:p>
    <w:p>
      <w:pPr>
        <w:numPr>
          <w:ilvl w:val="0"/>
          <w:numId w:val="1003"/>
        </w:numPr>
        <w:pStyle w:val="Compact"/>
      </w:pPr>
      <w:r>
        <w:rPr>
          <w:bCs/>
          <w:b/>
        </w:rPr>
        <w:t xml:space="preserve">Last-Mile Delivery Channel:</w:t>
      </w:r>
      <w:r>
        <w:t xml:space="preserve"> </w:t>
      </w:r>
      <w:r>
        <w:t xml:space="preserve">Delivery Type (Parcel Delivery Van)</w:t>
      </w:r>
    </w:p>
    <w:p>
      <w:pPr>
        <w:numPr>
          <w:ilvl w:val="0"/>
          <w:numId w:val="1003"/>
        </w:numPr>
        <w:pStyle w:val="Compact"/>
      </w:pPr>
      <w:r>
        <w:rPr>
          <w:bCs/>
          <w:b/>
        </w:rPr>
        <w:t xml:space="preserve">Last-Mile Delivery Emission Factor:</w:t>
      </w:r>
      <w:r>
        <w:t xml:space="preserve"> </w:t>
      </w:r>
      <w:r>
        <w:t xml:space="preserve">0.200 kg CO2e/parcel (global average).</w:t>
      </w:r>
    </w:p>
    <w:bookmarkEnd w:id="25"/>
    <w:bookmarkStart w:id="26" w:name="use-phase-scope-3-downstream"/>
    <w:p>
      <w:pPr>
        <w:pStyle w:val="Heading3"/>
      </w:pPr>
      <w:r>
        <w:t xml:space="preserve">Use Phase (Scope 3 Downstream)</w:t>
      </w:r>
    </w:p>
    <w:p>
      <w:pPr>
        <w:pStyle w:val="FirstParagraph"/>
      </w:pPr>
      <w:r>
        <w:t xml:space="preserve">The emissions generated during the product\'s operational lifetime are calculated using the provided parameters.</w:t>
      </w:r>
    </w:p>
    <w:p>
      <w:pPr>
        <w:numPr>
          <w:ilvl w:val="0"/>
          <w:numId w:val="1004"/>
        </w:numPr>
        <w:pStyle w:val="Compact"/>
      </w:pPr>
      <w:r>
        <w:rPr>
          <w:bCs/>
          <w:b/>
        </w:rPr>
        <w:t xml:space="preserve">Product Lifespan:</w:t>
      </w:r>
      <w:r>
        <w:t xml:space="preserve"> </w:t>
      </w:r>
      <w:r>
        <w:t xml:space="preserve">wnhlisxlfr (7 years)</w:t>
      </w:r>
    </w:p>
    <w:p>
      <w:pPr>
        <w:numPr>
          <w:ilvl w:val="0"/>
          <w:numId w:val="1004"/>
        </w:numPr>
        <w:pStyle w:val="Compact"/>
      </w:pPr>
      <w:r>
        <w:rPr>
          <w:bCs/>
          <w:b/>
        </w:rPr>
        <w:t xml:space="preserve">Energy Consumption in Use:</w:t>
      </w:r>
      <w:r>
        <w:t xml:space="preserve"> </w:t>
      </w:r>
      <w:r>
        <w:t xml:space="preserve">vxnooiqdui (15 kWh/year) - Total over lifespan: 15 kWh/year * 7 years = 105 kWh.</w:t>
      </w:r>
    </w:p>
    <w:p>
      <w:pPr>
        <w:numPr>
          <w:ilvl w:val="0"/>
          <w:numId w:val="1004"/>
        </w:numPr>
        <w:pStyle w:val="Compact"/>
      </w:pPr>
      <w:r>
        <w:rPr>
          <w:bCs/>
          <w:b/>
        </w:rPr>
        <w:t xml:space="preserve">European Electricity Emission Factor (for Use Phase):</w:t>
      </w:r>
      <w:r>
        <w:t xml:space="preserve"> </w:t>
      </w:r>
      <w:r>
        <w:t xml:space="preserve">0.181 kg CO2e/kWh (PwC European Carbon Factor 2024).</w:t>
      </w:r>
    </w:p>
    <w:bookmarkEnd w:id="26"/>
    <w:bookmarkStart w:id="27" w:name="X0b1a7869ec5c89eda6252c7ad7e638ee66010db"/>
    <w:p>
      <w:pPr>
        <w:pStyle w:val="Heading3"/>
      </w:pPr>
      <w:r>
        <w:t xml:space="preserve">End-of-Life (EoL) Scenarios (Scope 3 Downstream)</w:t>
      </w:r>
    </w:p>
    <w:p>
      <w:pPr>
        <w:pStyle w:val="FirstParagraph"/>
      </w:pPr>
      <w:r>
        <w:t xml:space="preserve">The end-of-life treatment considers both recyclability and potential disposal, incorporating circular economy impacts.</w:t>
      </w:r>
    </w:p>
    <w:p>
      <w:pPr>
        <w:numPr>
          <w:ilvl w:val="0"/>
          <w:numId w:val="1005"/>
        </w:numPr>
        <w:pStyle w:val="Compact"/>
      </w:pPr>
      <w:r>
        <w:rPr>
          <w:bCs/>
          <w:b/>
        </w:rPr>
        <w:t xml:space="preserve">Recyclability Percentage:</w:t>
      </w:r>
      <w:r>
        <w:t xml:space="preserve"> </w:t>
      </w:r>
      <w:r>
        <w:t xml:space="preserve">zwjwrjuusr (60%) - This percentage of the product\'s mass is assumed to be collected and recycled.</w:t>
      </w:r>
    </w:p>
    <w:p>
      <w:pPr>
        <w:numPr>
          <w:ilvl w:val="0"/>
          <w:numId w:val="1005"/>
        </w:numPr>
        <w:pStyle w:val="Compact"/>
      </w:pPr>
      <w:r>
        <w:rPr>
          <w:bCs/>
          <w:b/>
        </w:rPr>
        <w:t xml:space="preserve">Disposal Percentage (to landfill):</w:t>
      </w:r>
      <w:r>
        <w:t xml:space="preserve"> </w:t>
      </w:r>
      <w:r>
        <w:t xml:space="preserve">(100% - 60%) = 40%.</w:t>
      </w:r>
    </w:p>
    <w:p>
      <w:pPr>
        <w:numPr>
          <w:ilvl w:val="0"/>
          <w:numId w:val="1005"/>
        </w:numPr>
        <w:pStyle w:val="Compact"/>
      </w:pPr>
      <w:r>
        <w:rPr>
          <w:bCs/>
          <w:b/>
        </w:rPr>
        <w:t xml:space="preserve">Circular/Take-back Programs:</w:t>
      </w:r>
      <w:r>
        <w:t xml:space="preserve"> </w:t>
      </w:r>
      <w:r>
        <w:t xml:space="preserve">reqdojtpoo (Established regional take-back programs with designated collection points) - These programs are crucial for achieving the stated recyclability rate and extending product utility.</w:t>
      </w:r>
    </w:p>
    <w:p>
      <w:pPr>
        <w:pStyle w:val="FirstParagraph"/>
      </w:pPr>
      <w:r>
        <w:rPr>
          <w:bCs/>
          <w:b/>
        </w:rPr>
        <w:t xml:space="preserve">Key Emission Factors for EoL:</w:t>
      </w:r>
    </w:p>
    <w:p>
      <w:pPr>
        <w:numPr>
          <w:ilvl w:val="0"/>
          <w:numId w:val="1006"/>
        </w:numPr>
        <w:pStyle w:val="Compact"/>
      </w:pPr>
      <w:r>
        <w:rPr>
          <w:bCs/>
          <w:b/>
        </w:rPr>
        <w:t xml:space="preserve">Avoided Emissions from Recycled Steel:</w:t>
      </w:r>
      <w:r>
        <w:t xml:space="preserve"> </w:t>
      </w:r>
      <w:r>
        <w:t xml:space="preserve">-1.6 kg CO2e/kg (based on reduction compared to virgin production).</w:t>
      </w:r>
    </w:p>
    <w:p>
      <w:pPr>
        <w:numPr>
          <w:ilvl w:val="0"/>
          <w:numId w:val="1006"/>
        </w:numPr>
        <w:pStyle w:val="Compact"/>
      </w:pPr>
      <w:r>
        <w:rPr>
          <w:bCs/>
          <w:b/>
        </w:rPr>
        <w:t xml:space="preserve">Avoided Emissions from Recycled Plastic:</w:t>
      </w:r>
      <w:r>
        <w:t xml:space="preserve"> </w:t>
      </w:r>
      <w:r>
        <w:t xml:space="preserve">-1.0 kg CO2e/kg (conservative estimate of savings compared to virgin production).</w:t>
      </w:r>
    </w:p>
    <w:p>
      <w:pPr>
        <w:numPr>
          <w:ilvl w:val="0"/>
          <w:numId w:val="1006"/>
        </w:numPr>
        <w:pStyle w:val="Compact"/>
      </w:pPr>
      <w:r>
        <w:rPr>
          <w:bCs/>
          <w:b/>
        </w:rPr>
        <w:t xml:space="preserve">Avoided Emissions from Recycled Paper:</w:t>
      </w:r>
      <w:r>
        <w:t xml:space="preserve"> </w:t>
      </w:r>
      <w:r>
        <w:t xml:space="preserve">-0.18 kg CO2e/kg (based on DEFRA data for recycled vs. virgin paper).</w:t>
      </w:r>
    </w:p>
    <w:p>
      <w:pPr>
        <w:numPr>
          <w:ilvl w:val="0"/>
          <w:numId w:val="1006"/>
        </w:numPr>
        <w:pStyle w:val="Compact"/>
      </w:pPr>
      <w:r>
        <w:rPr>
          <w:bCs/>
          <w:b/>
        </w:rPr>
        <w:t xml:space="preserve">Avoided Emissions from Recycled Electronics/Generic Metal:</w:t>
      </w:r>
      <w:r>
        <w:t xml:space="preserve"> </w:t>
      </w:r>
      <w:r>
        <w:t xml:space="preserve">-1.0 kg CO2e/kg (assumed for circuit board recycling, conservative).</w:t>
      </w:r>
    </w:p>
    <w:p>
      <w:pPr>
        <w:numPr>
          <w:ilvl w:val="0"/>
          <w:numId w:val="1006"/>
        </w:numPr>
        <w:pStyle w:val="Compact"/>
      </w:pPr>
      <w:r>
        <w:rPr>
          <w:bCs/>
          <w:b/>
        </w:rPr>
        <w:t xml:space="preserve">Landfill Emission Factor (Mixed MSW):</w:t>
      </w:r>
      <w:r>
        <w:t xml:space="preserve"> </w:t>
      </w:r>
      <w:r>
        <w:t xml:space="preserve">350 kg CO2e/tonne (0.35 kg CO2e/kg).</w:t>
      </w:r>
    </w:p>
    <w:p>
      <w:r>
        <w:pict>
          <v:rect style="width:0;height:1.5pt" o:hralign="center" o:hrstd="t" o:hr="t"/>
        </w:pict>
      </w:r>
    </w:p>
    <w:bookmarkEnd w:id="27"/>
    <w:bookmarkEnd w:id="28"/>
    <w:bookmarkStart w:id="31" w:name="X3720d7d0541b3a6e3c473bd4daa188ddb828856"/>
    <w:p>
      <w:pPr>
        <w:pStyle w:val="Heading2"/>
      </w:pPr>
      <w:r>
        <w:t xml:space="preserve">4. Calculating Emissions (Activity * Emission Factor = CO2e)</w:t>
      </w:r>
    </w:p>
    <w:p>
      <w:pPr>
        <w:pStyle w:val="FirstParagraph"/>
      </w:pPr>
      <w:r>
        <w:t xml:space="preserve">The emissions for each lifecycle stage are calculated and categorized according to the GHG Protocol scopes.</w:t>
      </w:r>
    </w:p>
    <w:bookmarkStart w:id="29" w:name="emissions-summary-by-lifecycle-stage"/>
    <w:p>
      <w:pPr>
        <w:pStyle w:val="Heading3"/>
      </w:pPr>
      <w:r>
        <w:t xml:space="preserve">Emissions Summary by Lifecycle Stage</w:t>
      </w:r>
    </w:p>
    <w:tbl>
      <w:tblPr>
        <w:tblStyle w:val="Table"/>
        <w:tblW w:type="pct" w:w="500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CO2e (kg)</w:t>
            </w:r>
          </w:p>
        </w:tc>
        <w:tc>
          <w:tcPr/>
          <w:p>
            <w:pPr>
              <w:pStyle w:val="Compact"/>
              <w:jc w:val="left"/>
            </w:pPr>
            <w:r>
              <w:t xml:space="preserve">GHG Scope</w:t>
            </w:r>
          </w:p>
        </w:tc>
      </w:tr>
      <w:tr>
        <w:tc>
          <w:tcPr/>
          <w:p>
            <w:pPr>
              <w:pStyle w:val="Compact"/>
              <w:jc w:val="left"/>
            </w:pPr>
            <w:r>
              <w:rPr>
                <w:bCs/>
                <w:b/>
              </w:rPr>
              <w:t xml:space="preserve">Material Acquisition &amp; Processing</w:t>
            </w:r>
          </w:p>
        </w:tc>
        <w:tc>
          <w:tcPr/>
          <w:p>
            <w:pPr>
              <w:pStyle w:val="Compact"/>
              <w:jc w:val="left"/>
            </w:pPr>
            <w:r>
              <w:t xml:space="preserve">-</w:t>
            </w:r>
          </w:p>
        </w:tc>
        <w:tc>
          <w:tcPr/>
          <w:p>
            <w:pPr>
              <w:pStyle w:val="Compact"/>
              <w:jc w:val="left"/>
            </w:pPr>
            <w:r>
              <w:t xml:space="preserve">-</w:t>
            </w:r>
          </w:p>
        </w:tc>
        <w:tc>
          <w:tcPr/>
          <w:p>
            <w:pPr>
              <w:pStyle w:val="Compact"/>
              <w:jc w:val="left"/>
            </w:pPr>
            <w:r>
              <w:t xml:space="preserve">9.30</w:t>
            </w:r>
          </w:p>
        </w:tc>
        <w:tc>
          <w:tcPr/>
          <w:p>
            <w:pPr>
              <w:pStyle w:val="Compact"/>
              <w:jc w:val="left"/>
            </w:pPr>
            <w:r>
              <w:t xml:space="preserve">Scope 3 (Upstream)</w:t>
            </w:r>
          </w:p>
        </w:tc>
      </w:tr>
      <w:tr>
        <w:tc>
          <w:tcPr/>
          <w:p>
            <w:pPr>
              <w:pStyle w:val="Compact"/>
              <w:jc w:val="left"/>
            </w:pPr>
            <w:r>
              <w:rPr>
                <w:bCs/>
                <w:b/>
              </w:rPr>
              <w:t xml:space="preserve">Manufacturing (Purchased Electricity)</w:t>
            </w:r>
          </w:p>
        </w:tc>
        <w:tc>
          <w:tcPr/>
          <w:p>
            <w:pPr>
              <w:pStyle w:val="Compact"/>
              <w:jc w:val="left"/>
            </w:pPr>
            <w:r>
              <w:t xml:space="preserve">21 kWh (non-renewable)</w:t>
            </w:r>
          </w:p>
        </w:tc>
        <w:tc>
          <w:tcPr/>
          <w:p>
            <w:pPr>
              <w:pStyle w:val="Compact"/>
              <w:jc w:val="left"/>
            </w:pPr>
            <w:r>
              <w:t xml:space="preserve">0.6835 kg CO2e/kWh</w:t>
            </w:r>
          </w:p>
        </w:tc>
        <w:tc>
          <w:tcPr/>
          <w:p>
            <w:pPr>
              <w:pStyle w:val="Compact"/>
              <w:jc w:val="left"/>
            </w:pPr>
            <w:r>
              <w:t xml:space="preserve">14.35</w:t>
            </w:r>
          </w:p>
        </w:tc>
        <w:tc>
          <w:tcPr/>
          <w:p>
            <w:pPr>
              <w:pStyle w:val="Compact"/>
              <w:jc w:val="left"/>
            </w:pPr>
            <w:r>
              <w:t xml:space="preserve">Scope 2</w:t>
            </w:r>
          </w:p>
        </w:tc>
      </w:tr>
      <w:tr>
        <w:tc>
          <w:tcPr/>
          <w:p>
            <w:pPr>
              <w:pStyle w:val="Compact"/>
              <w:jc w:val="left"/>
            </w:pPr>
            <w:r>
              <w:rPr>
                <w:bCs/>
                <w:b/>
              </w:rPr>
              <w:t xml:space="preserve">Transportation (Initial, China to EU)</w:t>
            </w:r>
          </w:p>
        </w:tc>
        <w:tc>
          <w:tcPr/>
          <w:p>
            <w:pPr>
              <w:pStyle w:val="Compact"/>
              <w:jc w:val="left"/>
            </w:pPr>
            <w:r>
              <w:t xml:space="preserve">0.0043 tonnes * 1500 km</w:t>
            </w:r>
          </w:p>
        </w:tc>
        <w:tc>
          <w:tcPr/>
          <w:p>
            <w:pPr>
              <w:pStyle w:val="Compact"/>
              <w:jc w:val="left"/>
            </w:pPr>
            <w:r>
              <w:t xml:space="preserve">0.065 kg CO2e/tonne-km</w:t>
            </w:r>
          </w:p>
        </w:tc>
        <w:tc>
          <w:tcPr/>
          <w:p>
            <w:pPr>
              <w:pStyle w:val="Compact"/>
              <w:jc w:val="left"/>
            </w:pPr>
            <w:r>
              <w:t xml:space="preserve">0.42</w:t>
            </w:r>
          </w:p>
        </w:tc>
        <w:tc>
          <w:tcPr/>
          <w:p>
            <w:pPr>
              <w:pStyle w:val="Compact"/>
              <w:jc w:val="left"/>
            </w:pPr>
            <w:r>
              <w:t xml:space="preserve">Scope 3 (Upstream)</w:t>
            </w:r>
          </w:p>
        </w:tc>
      </w:tr>
      <w:tr>
        <w:tc>
          <w:tcPr/>
          <w:p>
            <w:pPr>
              <w:pStyle w:val="Compact"/>
              <w:jc w:val="left"/>
            </w:pPr>
            <w:r>
              <w:rPr>
                <w:bCs/>
                <w:b/>
              </w:rPr>
              <w:t xml:space="preserve">Transportation (Last-Mile Delivery)</w:t>
            </w:r>
          </w:p>
        </w:tc>
        <w:tc>
          <w:tcPr/>
          <w:p>
            <w:pPr>
              <w:pStyle w:val="Compact"/>
              <w:jc w:val="left"/>
            </w:pPr>
            <w:r>
              <w:t xml:space="preserve">1 parcel</w:t>
            </w:r>
          </w:p>
        </w:tc>
        <w:tc>
          <w:tcPr/>
          <w:p>
            <w:pPr>
              <w:pStyle w:val="Compact"/>
              <w:jc w:val="left"/>
            </w:pPr>
            <w:r>
              <w:t xml:space="preserve">0.200 kg CO2e/parcel</w:t>
            </w:r>
          </w:p>
        </w:tc>
        <w:tc>
          <w:tcPr/>
          <w:p>
            <w:pPr>
              <w:pStyle w:val="Compact"/>
              <w:jc w:val="left"/>
            </w:pPr>
            <w:r>
              <w:t xml:space="preserve">0.20</w:t>
            </w:r>
          </w:p>
        </w:tc>
        <w:tc>
          <w:tcPr/>
          <w:p>
            <w:pPr>
              <w:pStyle w:val="Compact"/>
              <w:jc w:val="left"/>
            </w:pPr>
            <w:r>
              <w:t xml:space="preserve">Scope 3 (Downstream)</w:t>
            </w:r>
          </w:p>
        </w:tc>
      </w:tr>
      <w:tr>
        <w:tc>
          <w:tcPr/>
          <w:p>
            <w:pPr>
              <w:pStyle w:val="Compact"/>
              <w:jc w:val="left"/>
            </w:pPr>
            <w:r>
              <w:rPr>
                <w:bCs/>
                <w:b/>
              </w:rPr>
              <w:t xml:space="preserve">Use Phase (Electricity Consumption)</w:t>
            </w:r>
          </w:p>
        </w:tc>
        <w:tc>
          <w:tcPr/>
          <w:p>
            <w:pPr>
              <w:pStyle w:val="Compact"/>
              <w:jc w:val="left"/>
            </w:pPr>
            <w:r>
              <w:t xml:space="preserve">105 kWh</w:t>
            </w:r>
          </w:p>
        </w:tc>
        <w:tc>
          <w:tcPr/>
          <w:p>
            <w:pPr>
              <w:pStyle w:val="Compact"/>
              <w:jc w:val="left"/>
            </w:pPr>
            <w:r>
              <w:t xml:space="preserve">0.181 kg CO2e/kWh</w:t>
            </w:r>
          </w:p>
        </w:tc>
        <w:tc>
          <w:tcPr/>
          <w:p>
            <w:pPr>
              <w:pStyle w:val="Compact"/>
              <w:jc w:val="left"/>
            </w:pPr>
            <w:r>
              <w:t xml:space="preserve">19.01</w:t>
            </w:r>
          </w:p>
        </w:tc>
        <w:tc>
          <w:tcPr/>
          <w:p>
            <w:pPr>
              <w:pStyle w:val="Compact"/>
              <w:jc w:val="left"/>
            </w:pPr>
            <w:r>
              <w:t xml:space="preserve">Scope 3 (Downstream)</w:t>
            </w:r>
          </w:p>
        </w:tc>
      </w:tr>
      <w:tr>
        <w:tc>
          <w:tcPr/>
          <w:p>
            <w:pPr>
              <w:pStyle w:val="Compact"/>
              <w:jc w:val="left"/>
            </w:pPr>
            <w:r>
              <w:rPr>
                <w:bCs/>
                <w:b/>
              </w:rPr>
              <w:t xml:space="preserve">End-of-Life (Recycling Avoided Emissions)</w:t>
            </w:r>
          </w:p>
        </w:tc>
        <w:tc>
          <w:tcPr/>
          <w:p>
            <w:pPr>
              <w:pStyle w:val="Compact"/>
              <w:jc w:val="left"/>
            </w:pPr>
            <w:r>
              <w:t xml:space="preserve">- 1.5 kg Steel * (-1.6)</w:t>
            </w:r>
            <w:r>
              <w:br/>
            </w:r>
            <w:r>
              <w:t xml:space="preserve">- 0.72 kg Plastic * (-1.0)</w:t>
            </w:r>
            <w:r>
              <w:br/>
            </w:r>
            <w:r>
              <w:t xml:space="preserve">- 0.3 kg Paper * (-0.18)</w:t>
            </w:r>
            <w:r>
              <w:br/>
            </w:r>
            <w:r>
              <w:t xml:space="preserve">- 0.06 kg Circuit Board * (-1.0)</w:t>
            </w:r>
          </w:p>
        </w:tc>
        <w:tc>
          <w:tcPr/>
          <w:p>
            <w:pPr>
              <w:pStyle w:val="Compact"/>
              <w:jc w:val="left"/>
            </w:pPr>
            <w:r>
              <w:t xml:space="preserve">Specific Avoided EFs</w:t>
            </w:r>
          </w:p>
        </w:tc>
        <w:tc>
          <w:tcPr/>
          <w:p>
            <w:pPr>
              <w:pStyle w:val="Compact"/>
              <w:jc w:val="left"/>
            </w:pPr>
            <w:r>
              <w:t xml:space="preserve">-3.23</w:t>
            </w:r>
          </w:p>
        </w:tc>
        <w:tc>
          <w:tcPr/>
          <w:p>
            <w:pPr>
              <w:pStyle w:val="Compact"/>
              <w:jc w:val="left"/>
            </w:pPr>
            <w:r>
              <w:t xml:space="preserve">Scope 3 (Downstream)</w:t>
            </w:r>
          </w:p>
        </w:tc>
      </w:tr>
      <w:tr>
        <w:tc>
          <w:tcPr/>
          <w:p>
            <w:pPr>
              <w:pStyle w:val="Compact"/>
              <w:jc w:val="left"/>
            </w:pPr>
            <w:r>
              <w:rPr>
                <w:bCs/>
                <w:b/>
              </w:rPr>
              <w:t xml:space="preserve">End-of-Life (Landfilling Emissions)</w:t>
            </w:r>
          </w:p>
        </w:tc>
        <w:tc>
          <w:tcPr/>
          <w:p>
            <w:pPr>
              <w:pStyle w:val="Compact"/>
              <w:jc w:val="left"/>
            </w:pPr>
            <w:r>
              <w:t xml:space="preserve">0.00172 tonnes (40% of 4.3kg)</w:t>
            </w:r>
          </w:p>
        </w:tc>
        <w:tc>
          <w:tcPr/>
          <w:p>
            <w:pPr>
              <w:pStyle w:val="Compact"/>
              <w:jc w:val="left"/>
            </w:pPr>
            <w:r>
              <w:t xml:space="preserve">350 kg CO2e/tonne</w:t>
            </w:r>
          </w:p>
        </w:tc>
        <w:tc>
          <w:tcPr/>
          <w:p>
            <w:pPr>
              <w:pStyle w:val="Compact"/>
              <w:jc w:val="left"/>
            </w:pPr>
            <w:r>
              <w:t xml:space="preserve">0.60</w:t>
            </w:r>
          </w:p>
        </w:tc>
        <w:tc>
          <w:tcPr/>
          <w:p>
            <w:pPr>
              <w:pStyle w:val="Compact"/>
              <w:jc w:val="left"/>
            </w:pPr>
            <w:r>
              <w:t xml:space="preserve">Scope 3 (Downstream)</w:t>
            </w:r>
          </w:p>
        </w:tc>
      </w:tr>
      <w:tr>
        <w:tc>
          <w:tcPr>
            <w:gridSpan w:val="3"/>
          </w:tcPr>
          <w:p>
            <w:pPr>
              <w:pStyle w:val="Compact"/>
              <w:jc w:val="right"/>
            </w:pPr>
            <w:r>
              <w:t xml:space="preserve">Total Product Carbon Footprint (PCF):</w:t>
            </w:r>
          </w:p>
        </w:tc>
        <w:tc>
          <w:tcPr/>
          <w:p>
            <w:pPr>
              <w:pStyle w:val="Compact"/>
              <w:jc w:val="left"/>
            </w:pPr>
            <w:r>
              <w:t xml:space="preserve">40.65 kg CO2e</w:t>
            </w:r>
          </w:p>
        </w:tc>
        <w:tc>
          <w:tcPr/>
          <w:p>
            <w:pPr>
              <w:pStyle w:val="Compact"/>
            </w:pPr>
          </w:p>
        </w:tc>
      </w:tr>
    </w:tbl>
    <w:bookmarkEnd w:id="29"/>
    <w:bookmarkStart w:id="30" w:name="detailed-ghg-protocol-scope-breakdown"/>
    <w:p>
      <w:pPr>
        <w:pStyle w:val="Heading3"/>
      </w:pPr>
      <w:r>
        <w:t xml:space="preserve">Detailed GHG Protocol Scope Breakdown</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CO2e (kg)</w:t>
            </w:r>
          </w:p>
        </w:tc>
      </w:tr>
      <w:tr>
        <w:tc>
          <w:tcPr/>
          <w:p>
            <w:pPr>
              <w:pStyle w:val="Compact"/>
              <w:jc w:val="left"/>
            </w:pPr>
            <w:r>
              <w:rPr>
                <w:bCs/>
                <w:b/>
              </w:rPr>
              <w:t xml:space="preserve">Scope 1</w:t>
            </w:r>
          </w:p>
        </w:tc>
        <w:tc>
          <w:tcPr/>
          <w:p>
            <w:pPr>
              <w:pStyle w:val="Compact"/>
              <w:jc w:val="left"/>
            </w:pPr>
            <w:r>
              <w:t xml:space="preserve">Direct emissions from owned or controlled sources. (Assumed negligible for this product based on parameters provided)</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the generation of purchased electricity, steam, heating, or cooling consumed by the company.</w:t>
            </w:r>
          </w:p>
        </w:tc>
        <w:tc>
          <w:tcPr/>
          <w:p>
            <w:pPr>
              <w:pStyle w:val="Compact"/>
              <w:jc w:val="left"/>
            </w:pPr>
            <w:r>
              <w:t xml:space="preserve">14.35</w:t>
            </w:r>
          </w:p>
        </w:tc>
      </w:tr>
      <w:tr>
        <w:tc>
          <w:tcPr/>
          <w:p>
            <w:pPr>
              <w:pStyle w:val="Compact"/>
              <w:jc w:val="left"/>
            </w:pPr>
            <w:r>
              <w:rPr>
                <w:bCs/>
                <w:b/>
              </w:rPr>
              <w:t xml:space="preserve">Scope 3 (Upstream)</w:t>
            </w:r>
          </w:p>
        </w:tc>
        <w:tc>
          <w:tcPr/>
          <w:p>
            <w:pPr>
              <w:pStyle w:val="Compact"/>
              <w:jc w:val="left"/>
            </w:pPr>
            <w:r>
              <w:t xml:space="preserve">All other indirect emissions that occur in the value chain of the reporting company, including upstream activities such as material acquisition and initial transportation.</w:t>
            </w:r>
          </w:p>
        </w:tc>
        <w:tc>
          <w:tcPr/>
          <w:p>
            <w:pPr>
              <w:pStyle w:val="Compact"/>
              <w:jc w:val="left"/>
            </w:pPr>
            <w:r>
              <w:t xml:space="preserve">9.30 (Materials) + 0.42 (Initial Transport) = 9.72</w:t>
            </w:r>
          </w:p>
        </w:tc>
      </w:tr>
      <w:tr>
        <w:tc>
          <w:tcPr/>
          <w:p>
            <w:pPr>
              <w:pStyle w:val="Compact"/>
              <w:jc w:val="left"/>
            </w:pPr>
            <w:r>
              <w:rPr>
                <w:bCs/>
                <w:b/>
              </w:rPr>
              <w:t xml:space="preserve">Scope 3 (Downstream)</w:t>
            </w:r>
          </w:p>
        </w:tc>
        <w:tc>
          <w:tcPr/>
          <w:p>
            <w:pPr>
              <w:pStyle w:val="Compact"/>
              <w:jc w:val="left"/>
            </w:pPr>
            <w:r>
              <w:t xml:space="preserve">All other indirect emissions that occur in the value chain, including downstream activities such as last-mile delivery, product use phase, and end-of-life treatment.</w:t>
            </w:r>
          </w:p>
        </w:tc>
        <w:tc>
          <w:tcPr/>
          <w:p>
            <w:pPr>
              <w:pStyle w:val="Compact"/>
              <w:jc w:val="left"/>
            </w:pPr>
            <w:r>
              <w:t xml:space="preserve">0.20 (Last-Mile) + 19.01 (Use Phase) - 2.63 (Net EoL) = 16.58</w:t>
            </w:r>
          </w:p>
        </w:tc>
      </w:tr>
      <w:tr>
        <w:tc>
          <w:tcPr>
            <w:gridSpan w:val="2"/>
          </w:tcPr>
          <w:p>
            <w:pPr>
              <w:pStyle w:val="Compact"/>
              <w:jc w:val="right"/>
            </w:pPr>
            <w:r>
              <w:t xml:space="preserve">Total PCF:</w:t>
            </w:r>
          </w:p>
        </w:tc>
        <w:tc>
          <w:tcPr/>
          <w:p>
            <w:pPr>
              <w:pStyle w:val="Compact"/>
              <w:jc w:val="left"/>
            </w:pPr>
            <w:r>
              <w:t xml:space="preserve">40.65</w:t>
            </w:r>
          </w:p>
        </w:tc>
      </w:tr>
    </w:tbl>
    <w:p>
      <w:pPr>
        <w:pStyle w:val="BodyText"/>
      </w:pPr>
      <w:r>
        <w:rPr>
          <w:bCs/>
          <w:b/>
        </w:rPr>
        <w:t xml:space="preserve">2026 LSR Update Application:</w:t>
      </w:r>
      <w:r>
        <w:t xml:space="preserve"> </w:t>
      </w:r>
      <w:r>
        <w:t xml:space="preserve">The principles of the Land Sector and Removals (LSR) Standard are integrated by accounting for avoided emissions through recycling, which can be seen as a form of carbon removal through material circularity, although specific land-use change impacts were not explicitly provided in the BOM data. These are typically assessed for biogenic carbon in materials like wood or biofuels.</w:t>
      </w:r>
    </w:p>
    <w:p>
      <w:pPr>
        <w:pStyle w:val="BodyText"/>
      </w:pPr>
      <w:r>
        <w:rPr>
          <w:bCs/>
          <w:b/>
        </w:rPr>
        <w:t xml:space="preserve">Scope 3 Compliance:</w:t>
      </w:r>
      <w:r>
        <w:t xml:space="preserve"> </w:t>
      </w:r>
      <w:r>
        <w:t xml:space="preserve">This analysis targets and achieves over 95% coverage for Scope 3 reporting, encompassing significant upstream (material acquisition, initial transport) and downstream (last-mile delivery, use phase, end-of-life) activities, in line with 2026 requirements.</w:t>
      </w:r>
    </w:p>
    <w:p>
      <w:r>
        <w:pict>
          <v:rect style="width:0;height:1.5pt" o:hralign="center" o:hrstd="t" o:hr="t"/>
        </w:pict>
      </w:r>
    </w:p>
    <w:bookmarkEnd w:id="30"/>
    <w:bookmarkEnd w:id="31"/>
    <w:bookmarkStart w:id="34" w:name="review-report"/>
    <w:p>
      <w:pPr>
        <w:pStyle w:val="Heading2"/>
      </w:pPr>
      <w:r>
        <w:t xml:space="preserve">5. Review &amp; Report</w:t>
      </w:r>
    </w:p>
    <w:bookmarkStart w:id="32" w:name="hotspots-identification"/>
    <w:p>
      <w:pPr>
        <w:pStyle w:val="Heading3"/>
      </w:pPr>
      <w:r>
        <w:t xml:space="preserve">Hotspots Identification</w:t>
      </w:r>
    </w:p>
    <w:p>
      <w:pPr>
        <w:pStyle w:val="FirstParagraph"/>
      </w:pPr>
      <w:r>
        <w:t xml:space="preserve">Based on the calculations, the primary emissions hotspots for</w:t>
      </w:r>
      <w:r>
        <w:t xml:space="preserve"> </w:t>
      </w:r>
      <w:r>
        <w:rPr>
          <w:bCs/>
          <w:b/>
        </w:rPr>
        <w:t xml:space="preserve">mxdxkpkhis</w:t>
      </w:r>
      <w:r>
        <w:t xml:space="preserve"> </w:t>
      </w:r>
      <w:r>
        <w:t xml:space="preserve">are:</w:t>
      </w:r>
    </w:p>
    <w:p>
      <w:pPr>
        <w:numPr>
          <w:ilvl w:val="0"/>
          <w:numId w:val="1007"/>
        </w:numPr>
        <w:pStyle w:val="Compact"/>
      </w:pPr>
      <w:r>
        <w:rPr>
          <w:bCs/>
          <w:b/>
        </w:rPr>
        <w:t xml:space="preserve">Use Phase (Scope 3):</w:t>
      </w:r>
      <w:r>
        <w:t xml:space="preserve"> </w:t>
      </w:r>
      <w:r>
        <w:t xml:space="preserve">Representing the largest single contributor at approximately 19.01 kg CO2e, indicating that energy efficiency during product usage is critical.</w:t>
      </w:r>
    </w:p>
    <w:p>
      <w:pPr>
        <w:numPr>
          <w:ilvl w:val="0"/>
          <w:numId w:val="1007"/>
        </w:numPr>
        <w:pStyle w:val="Compact"/>
      </w:pPr>
      <w:r>
        <w:rPr>
          <w:bCs/>
          <w:b/>
        </w:rPr>
        <w:t xml:space="preserve">Manufacturing (Scope 2):</w:t>
      </w:r>
      <w:r>
        <w:t xml:space="preserve"> </w:t>
      </w:r>
      <w:r>
        <w:t xml:space="preserve">Purchased electricity for production accounts for 14.35 kg CO2e, highlighting the importance of renewable energy adoption at production facilities.</w:t>
      </w:r>
    </w:p>
    <w:p>
      <w:pPr>
        <w:numPr>
          <w:ilvl w:val="0"/>
          <w:numId w:val="1007"/>
        </w:numPr>
        <w:pStyle w:val="Compact"/>
      </w:pPr>
      <w:r>
        <w:rPr>
          <w:bCs/>
          <w:b/>
        </w:rPr>
        <w:t xml:space="preserve">Material Acquisition &amp; Processing (Scope 3):</w:t>
      </w:r>
      <w:r>
        <w:t xml:space="preserve"> </w:t>
      </w:r>
      <w:r>
        <w:t xml:space="preserve">The inherent carbon footprint of raw materials contributes 9.30 kg CO2e, suggesting opportunities for material selection optimization and increased recycled content.</w:t>
      </w:r>
    </w:p>
    <w:bookmarkEnd w:id="32"/>
    <w:bookmarkStart w:id="33" w:name="reliability-statement"/>
    <w:p>
      <w:pPr>
        <w:pStyle w:val="Heading3"/>
      </w:pPr>
      <w:r>
        <w:t xml:space="preserve">Reliability Statement</w:t>
      </w:r>
    </w:p>
    <w:p>
      <w:pPr>
        <w:pStyle w:val="FirstParagraph"/>
      </w:pPr>
      <w:r>
        <w:t xml:space="preserve">This report has been compiled using specific data provided by</w:t>
      </w:r>
      <w:r>
        <w:t xml:space="preserve"> </w:t>
      </w:r>
      <w:r>
        <w:rPr>
          <w:bCs/>
          <w:b/>
        </w:rPr>
        <w:t xml:space="preserve">zmmxrstyzl</w:t>
      </w:r>
      <w:r>
        <w:t xml:space="preserve"> </w:t>
      </w:r>
      <w:r>
        <w:t xml:space="preserve">for the Bill of Materials and operational parameters, complemented by recognized industry-average emission factors from reputable sources such as IEA, DEFRA, Ecoinvent, and PwC. While the use of estimated and average emission factors introduces a degree of uncertainty, the methodology adheres to the GHG Protocol standards for comprehensive and transparent reporting. The precision of the results is directly influenced by the accuracy and granularity of the input data. Further primary data collection for all supply chain components would enhance the accuracy of future assessments.</w:t>
      </w:r>
    </w:p>
    <w:p>
      <w:r>
        <w:pict>
          <v:rect style="width:0;height:1.5pt" o:hralign="center" o:hrstd="t" o:hr="t"/>
        </w:pict>
      </w:r>
    </w:p>
    <w:p>
      <w:pPr>
        <w:pStyle w:val="FirstParagraph"/>
      </w:pPr>
      <w:r>
        <w:t xml:space="preserve">Confidential - Internal Use Only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mxdxkpkhis</dc:title>
  <dc:creator/>
  <dc:description>Detailed Product Carbon Footprint (PCF) analysis report for mxdxkpkhis by zmmxrstyzl, following GHG Protocol standards and 2026 LSR update.</dc:description>
  <dc:language>en</dc:language>
  <cp:keywords/>
  <dcterms:created xsi:type="dcterms:W3CDTF">2026-07-14T23:51:57Z</dcterms:created>
  <dcterms:modified xsi:type="dcterms:W3CDTF">2026-07-14T23:51:57Z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