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mwtgjghyng</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mwtgjghyng"/>
    <w:p>
      <w:pPr>
        <w:pStyle w:val="Heading2"/>
      </w:pPr>
      <w:r>
        <w:t xml:space="preserve">for mwtgjghyng</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nplmmxthet</w:t>
      </w:r>
    </w:p>
    <w:p>
      <w:pPr>
        <w:pStyle w:val="BodyText"/>
      </w:pPr>
      <w:r>
        <w:rPr>
          <w:bCs/>
          <w:b/>
        </w:rPr>
        <w:t xml:space="preserve">Senior Sustainability Consultant:</w:t>
      </w:r>
      <w:r>
        <w:t xml:space="preserve"> </w:t>
      </w:r>
      <w:r>
        <w:t xml:space="preserve">wwpgivzddq</w:t>
      </w:r>
    </w:p>
    <w:p>
      <w:pPr>
        <w:pStyle w:val="BodyText"/>
      </w:pPr>
      <w:r>
        <w:t xml:space="preserve">Disclaimer: This report is generated based on available data and industry standards. While efforts have been made to ensure accuracy,</w:t>
      </w:r>
      <w:r>
        <w:t xml:space="preserve"> </w:t>
      </w:r>
      <w:r>
        <w:t xml:space="preserve">some data points are illustrative placeholders due to the abstract nature of the input parameters. Actual values for specific</w:t>
      </w:r>
      <w:r>
        <w:t xml:space="preserve"> </w:t>
      </w:r>
      <w:r>
        <w:t xml:space="preserve">products and supply chains would require precise primary data collection.</w:t>
      </w:r>
    </w:p>
    <w:bookmarkEnd w:id="20"/>
    <w:bookmarkEnd w:id="21"/>
    <w:bookmarkStart w:id="45" w:name="Xfbdb53f88eaf88e17d0c32c517f81c73394f61a"/>
    <w:p>
      <w:pPr>
        <w:pStyle w:val="Heading1"/>
      </w:pPr>
      <w:r>
        <w:t xml:space="preserve">Product Carbon Footprint Analysis for mwtgjghyng</w:t>
      </w:r>
    </w:p>
    <w:p>
      <w:pPr>
        <w:pStyle w:val="FirstParagraph"/>
      </w:pPr>
      <w:r>
        <w:rPr>
          <w:bCs/>
          <w:b/>
        </w:rPr>
        <w:t xml:space="preserve">Generated Date:</w:t>
      </w:r>
      <w:r>
        <w:t xml:space="preserve"> </w:t>
      </w:r>
      <w:r>
        <w:t xml:space="preserve">May 24,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“mwtgjghyng”, developed for nplmmxthet by Senior Sustainability Consultant wwpgivzddq.</w:t>
      </w:r>
      <w:r>
        <w:t xml:space="preserve"> </w:t>
      </w:r>
      <w:r>
        <w:t xml:space="preserve">The analysis adheres strictly to the GHG Protocol, including considerations for the upcoming 2026 Land Sector and Removals (LSR) Standard update and a comprehensive 95% coverage for Scope 3 emissions. The goal is to quantify greenhouse gas (GHG) emissions across the product\'s lifecycle, from material acquisition to end-of-life, identifying key emission hotspots and offering insights for reduction. Due to the placeholder nature of some input parameters, illustrative data consistent with industry averages has been used to demonstrate the methodology and potential impact.</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mwtgjghyng follows the GHG Protocol\'s Product Standard, which builds upon the Corporate Standard and the Scope 3 Standard, ensuring a robust and internationally recognized accounting framework.</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 1.0 unit of the product mwtgjghyng. This unit serves as the reference basis for all quantified environmental impacts.</w:t>
      </w:r>
    </w:p>
    <w:p>
      <w:pPr>
        <w:numPr>
          <w:ilvl w:val="0"/>
          <w:numId w:val="1001"/>
        </w:numPr>
        <w:pStyle w:val="Compact"/>
      </w:pPr>
      <w:r>
        <w:rPr>
          <w:bCs/>
          <w:b/>
        </w:rPr>
        <w:t xml:space="preserve">System Boundary:</w:t>
      </w:r>
      <w:r>
        <w:t xml:space="preserve"> </w:t>
      </w:r>
      <w:r>
        <w:t xml:space="preserve">While the primary operational control boundary is specified as \'factory_gate\', the comprehensive analysis extends to a \'cradle-to-grave\' approach. This includes raw material acquisition, manufacturing (factory_gate), transportation, use phase, and end-of-life treatment, as indicated by the detailed parameters provided for these stages.</w:t>
      </w:r>
    </w:p>
    <w:p>
      <w:pPr>
        <w:numPr>
          <w:ilvl w:val="0"/>
          <w:numId w:val="1001"/>
        </w:numPr>
        <w:pStyle w:val="Compact"/>
      </w:pPr>
      <w:r>
        <w:rPr>
          <w:bCs/>
          <w:b/>
        </w:rPr>
        <w:t xml:space="preserve">Geographic Scope:</w:t>
      </w:r>
      <w:r>
        <w:t xml:space="preserve"> </w:t>
      </w:r>
      <w:r>
        <w:t xml:space="preserve">Final production occurs in China, with a supply chain focus on Europe for downstream distribution and product use. This dual geographic focus necessitates the use of country-specific emission factors for energy grids and transport where applicable.</w:t>
      </w:r>
    </w:p>
    <w:p>
      <w:pPr>
        <w:numPr>
          <w:ilvl w:val="0"/>
          <w:numId w:val="1001"/>
        </w:numPr>
        <w:pStyle w:val="Compact"/>
      </w:pPr>
      <w:r>
        <w:rPr>
          <w:bCs/>
          <w:b/>
        </w:rPr>
        <w:t xml:space="preserve">Allocation:</w:t>
      </w:r>
      <w:r>
        <w:t xml:space="preserve"> </w:t>
      </w:r>
      <w:r>
        <w:t xml:space="preserve">Where co-production or multi-functionality occurs, emissions are allocated based on mass, economic value, or other relevant physical relationships, in accordance with GHG Protocol guidelines. For this specific PCF, direct emissions are primarily attributed to the product.</w:t>
      </w:r>
    </w:p>
    <w:bookmarkEnd w:id="23"/>
    <w:bookmarkStart w:id="24" w:name="map-lifecycle-lci-inventory-stages"/>
    <w:p>
      <w:pPr>
        <w:pStyle w:val="Heading3"/>
      </w:pPr>
      <w:r>
        <w:t xml:space="preserve">1.2. Map Lifecycle (LCI Inventory Stages)</w:t>
      </w:r>
    </w:p>
    <w:p>
      <w:pPr>
        <w:pStyle w:val="FirstParagraph"/>
      </w:pPr>
      <w:r>
        <w:t xml:space="preserve">The lifecycle of mwtgjghyng has been mapped into the following stages for inventory data collection and emission calculation:</w:t>
      </w:r>
    </w:p>
    <w:p>
      <w:pPr>
        <w:numPr>
          <w:ilvl w:val="0"/>
          <w:numId w:val="1002"/>
        </w:numPr>
        <w:pStyle w:val="Compact"/>
      </w:pPr>
      <w:r>
        <w:rPr>
          <w:bCs/>
          <w:b/>
        </w:rPr>
        <w:t xml:space="preserve">Raw Material Acquisition &amp; Pre-processing:</w:t>
      </w:r>
      <w:r>
        <w:t xml:space="preserve"> </w:t>
      </w:r>
      <w:r>
        <w:t xml:space="preserve">Extraction and processing of materials, including component manufacturing, leading up to the factory gate.</w:t>
      </w:r>
    </w:p>
    <w:p>
      <w:pPr>
        <w:numPr>
          <w:ilvl w:val="0"/>
          <w:numId w:val="1002"/>
        </w:numPr>
        <w:pStyle w:val="Compact"/>
      </w:pPr>
      <w:r>
        <w:rPr>
          <w:bCs/>
          <w:b/>
        </w:rPr>
        <w:t xml:space="preserve">Production (Manufacturing):</w:t>
      </w:r>
      <w:r>
        <w:t xml:space="preserve"> </w:t>
      </w:r>
      <w:r>
        <w:t xml:space="preserve">Processes at the nplmmxthet production facility in China, including energy consumption for assembly and manufacturing.</w:t>
      </w:r>
    </w:p>
    <w:p>
      <w:pPr>
        <w:numPr>
          <w:ilvl w:val="0"/>
          <w:numId w:val="1002"/>
        </w:numPr>
        <w:pStyle w:val="Compact"/>
      </w:pPr>
      <w:r>
        <w:rPr>
          <w:bCs/>
          <w:b/>
        </w:rPr>
        <w:t xml:space="preserve">Transportation &amp; Distribution:</w:t>
      </w:r>
      <w:r>
        <w:t xml:space="preserve"> </w:t>
      </w:r>
      <w:r>
        <w:t xml:space="preserve">All transport activities from suppliers to the factory (upstream) and from the factory to the end-user, including last-mile delivery (downstream).</w:t>
      </w:r>
    </w:p>
    <w:p>
      <w:pPr>
        <w:numPr>
          <w:ilvl w:val="0"/>
          <w:numId w:val="1002"/>
        </w:numPr>
        <w:pStyle w:val="Compact"/>
      </w:pPr>
      <w:r>
        <w:rPr>
          <w:bCs/>
          <w:b/>
        </w:rPr>
        <w:t xml:space="preserve">Use Phase:</w:t>
      </w:r>
      <w:r>
        <w:t xml:space="preserve"> </w:t>
      </w:r>
      <w:r>
        <w:t xml:space="preserve">Energy consumption and other impacts associated with the product\'s functional use by the customer over its specified lifespan.</w:t>
      </w:r>
    </w:p>
    <w:p>
      <w:pPr>
        <w:numPr>
          <w:ilvl w:val="0"/>
          <w:numId w:val="1002"/>
        </w:numPr>
        <w:pStyle w:val="Compact"/>
      </w:pPr>
      <w:r>
        <w:rPr>
          <w:bCs/>
          <w:b/>
        </w:rPr>
        <w:t xml:space="preserve">End-of-Life (EoL):</w:t>
      </w:r>
      <w:r>
        <w:t xml:space="preserve"> </w:t>
      </w:r>
      <w:r>
        <w:t xml:space="preserve">Collection, treatment, and disposal or recycling processes after the product\'s useful life.</w:t>
      </w:r>
    </w:p>
    <w:bookmarkEnd w:id="24"/>
    <w:bookmarkStart w:id="25" w:name="Xb57f50a89bf1f3f1837369be949d9d60d6c1272"/>
    <w:p>
      <w:pPr>
        <w:pStyle w:val="Heading3"/>
      </w:pPr>
      <w:r>
        <w:t xml:space="preserve">1.3. Collect Data (Primary/Secondary Data Points)</w:t>
      </w:r>
    </w:p>
    <w:p>
      <w:pPr>
        <w:pStyle w:val="FirstParagraph"/>
      </w:pPr>
      <w:r>
        <w:t xml:space="preserve">Data collection involves a combination of primary (company-specific) and secondary (industry average) data. For this report, given the placeholder inputs, illustrative secondary data, primarily from Ecoinvent and other recognized databases, has been utilized to demonstrate the calculation methodology.</w:t>
      </w:r>
    </w:p>
    <w:p>
      <w:pPr>
        <w:numPr>
          <w:ilvl w:val="0"/>
          <w:numId w:val="1003"/>
        </w:numPr>
        <w:pStyle w:val="Compact"/>
      </w:pPr>
      <w:r>
        <w:rPr>
          <w:bCs/>
          <w:b/>
        </w:rPr>
        <w:t xml:space="preserve">Detailed Bill of Materials (BOM):</w:t>
      </w:r>
      <w:r>
        <w:t xml:space="preserve"> </w:t>
      </w:r>
      <w:r>
        <w:t xml:space="preserve">The provided BOM structure (`vzyeirlp`) is critical for accurately quantifying the material-related impacts. Illustrative data has been generated to represent typical components and their associated carbon intensity.</w:t>
      </w:r>
    </w:p>
    <w:p>
      <w:pPr>
        <w:numPr>
          <w:ilvl w:val="0"/>
          <w:numId w:val="1003"/>
        </w:numPr>
        <w:pStyle w:val="Compact"/>
      </w:pPr>
      <w:r>
        <w:rPr>
          <w:bCs/>
          <w:b/>
        </w:rPr>
        <w:t xml:space="preserve">Logistics Data:</w:t>
      </w:r>
      <w:r>
        <w:t xml:space="preserve"> </w:t>
      </w:r>
      <w:r>
        <w:t xml:space="preserve">Specifics for transport mode (`Select Mode`), distance (`oofyxvkrqf`), and last-mile delivery (`Delivery Type`) have been incorporated using representative emission factors.</w:t>
      </w:r>
    </w:p>
    <w:p>
      <w:pPr>
        <w:numPr>
          <w:ilvl w:val="0"/>
          <w:numId w:val="1003"/>
        </w:numPr>
        <w:pStyle w:val="Compact"/>
      </w:pPr>
      <w:r>
        <w:rPr>
          <w:bCs/>
          <w:b/>
        </w:rPr>
        <w:t xml:space="preserve">Energy Customization Data:</w:t>
      </w:r>
      <w:r>
        <w:t xml:space="preserve"> </w:t>
      </w:r>
      <w:r>
        <w:t xml:space="preserve">Renewable energy usage (`ttvpwpwujv`) and energy intensity (`zdxuywotke`) are used for the production phase.</w:t>
      </w:r>
    </w:p>
    <w:p>
      <w:pPr>
        <w:numPr>
          <w:ilvl w:val="0"/>
          <w:numId w:val="1003"/>
        </w:numPr>
        <w:pStyle w:val="Compact"/>
      </w:pPr>
      <w:r>
        <w:rPr>
          <w:bCs/>
          <w:b/>
        </w:rPr>
        <w:t xml:space="preserve">Product Durability &amp; Consumption:</w:t>
      </w:r>
      <w:r>
        <w:t xml:space="preserve"> </w:t>
      </w:r>
      <w:r>
        <w:t xml:space="preserve">Product lifespan (`mpwvkjtlym`) and energy consumption in use (`iuxnqdsryp`) are applied to model the use phase impacts.</w:t>
      </w:r>
    </w:p>
    <w:p>
      <w:pPr>
        <w:numPr>
          <w:ilvl w:val="0"/>
          <w:numId w:val="1003"/>
        </w:numPr>
        <w:pStyle w:val="Compact"/>
      </w:pPr>
      <w:r>
        <w:rPr>
          <w:bCs/>
          <w:b/>
        </w:rPr>
        <w:t xml:space="preserve">End-of-Life Scenarios:</w:t>
      </w:r>
      <w:r>
        <w:t xml:space="preserve"> </w:t>
      </w:r>
      <w:r>
        <w:t xml:space="preserve">Recyclability percentage (`mmnmenrgqv`) and circular/take-back programs (`vzwnhwdyxw`) inform the EoL calculations, considering both burdens and potential credits.</w:t>
      </w:r>
    </w:p>
    <w:bookmarkEnd w:id="25"/>
    <w:bookmarkStart w:id="26" w:name="Xb404f6bea4a0013006ec7a9103609d9ea6643c1"/>
    <w:p>
      <w:pPr>
        <w:pStyle w:val="Heading3"/>
      </w:pPr>
      <w:r>
        <w:t xml:space="preserve">1.4. Calculate Emissions (Activity * Emission Factor = CO2e)</w:t>
      </w:r>
    </w:p>
    <w:p>
      <w:pPr>
        <w:pStyle w:val="FirstParagraph"/>
      </w:pPr>
      <w:r>
        <w:t xml:space="preserve">Emissions are calculated for each lifecycle stage by multiplying activity data (e.g., kg of material, kWh of energy, tonne-km of transport) by relevant, industry-standard emission factors (e.g., from Ecoinvent/DEFRA/IPCC). All GHG emissions are expressed in CO2 equivalents (CO2e), encompassing CO2, CH4, N2O, and other relevant GHGs based on their 100-year Global Warming Potentials (GWP100).</w:t>
      </w:r>
    </w:p>
    <w:bookmarkEnd w:id="26"/>
    <w:bookmarkStart w:id="27" w:name="review-report-hotspots-and-reliability"/>
    <w:p>
      <w:pPr>
        <w:pStyle w:val="Heading3"/>
      </w:pPr>
      <w:r>
        <w:t xml:space="preserve">1.5. Review &amp; Report (Hotspots and Reliability)</w:t>
      </w:r>
    </w:p>
    <w:p>
      <w:pPr>
        <w:pStyle w:val="FirstParagraph"/>
      </w:pPr>
      <w:r>
        <w:t xml:space="preserve">The final step involves reviewing the results, identifying emission hotspots, and assessing data reliability. The report then consolidates these findings, presenting transparent calculations and actionable recommendations.</w:t>
      </w:r>
    </w:p>
    <w:p>
      <w:r>
        <w:pict>
          <v:rect style="width:0;height:1.5pt" o:hralign="center" o:hrstd="t" o:hr="t"/>
        </w:pict>
      </w:r>
    </w:p>
    <w:bookmarkEnd w:id="27"/>
    <w:bookmarkEnd w:id="28"/>
    <w:bookmarkStart w:id="40" w:name="X2e1db030637dfed93dcccdd49ba8d8139b127fa"/>
    <w:p>
      <w:pPr>
        <w:pStyle w:val="Heading2"/>
      </w:pPr>
      <w:r>
        <w:t xml:space="preserve">2. Detailed Product Carbon Footprint Analysis for mwtgjghyng</w:t>
      </w:r>
    </w:p>
    <w:bookmarkStart w:id="29" w:name="Xa0167153afb08617bc1ef66f877fb2c58fdaeda"/>
    <w:p>
      <w:pPr>
        <w:pStyle w:val="Heading3"/>
      </w:pPr>
      <w:r>
        <w:t xml:space="preserve">2.1. Adherence to GHG Protocol and 2026 LSR Update</w:t>
      </w:r>
    </w:p>
    <w:p>
      <w:pPr>
        <w:pStyle w:val="FirstParagraph"/>
      </w:pPr>
      <w:r>
        <w:t xml:space="preserve">The analysis categorizes emissions into Scope 1 (direct emissions from owned or controlled sources), Scope 2 (indirect emissions from the generation of purchased energy), and Scope 3 (all other indirect emissions in the value chain).</w:t>
      </w:r>
    </w:p>
    <w:p>
      <w:pPr>
        <w:pStyle w:val="BodyText"/>
      </w:pPr>
      <w:r>
        <w:t xml:space="preserve">The 2026 Land Sector and Removals (LSR) Standard (effective January 1, 2027) is acknowledged and applied where relevant. The LSR Standard provides guidance for accounting for land-based emissions and CO2 removals, including those from land management, land-use change, biogenic products, and technological CO2 removals. While the product mwtgjghyng may not directly involve significant land-use change, its application ensures that any upstream agricultural or bio-based components, if present in the detailed BOM, would be accounted for in accordance with the latest standard for carbon removals and biogenic emissions.</w:t>
      </w:r>
    </w:p>
    <w:p>
      <w:pPr>
        <w:pStyle w:val="BodyText"/>
      </w:pPr>
      <w:r>
        <w:t xml:space="preserve">A key requirement for this report is to ensure at least 95% coverage for Scope 3 reporting, aligning with the 2026 requirements. All relevant Scope 3 categories—namely Purchased Goods and Services, Upstream and Downstream Transportation and Distribution, Use of Sold Products, and End-of-Life Treatment of Sold Products—are comprehensively assessed to achieve this coverage.</w:t>
      </w:r>
    </w:p>
    <w:bookmarkEnd w:id="29"/>
    <w:bookmarkStart w:id="32" w:name="data-inputs-and-assumptions-illustrative"/>
    <w:p>
      <w:pPr>
        <w:pStyle w:val="Heading3"/>
      </w:pPr>
      <w:r>
        <w:t xml:space="preserve">2.2. Data Inputs and Assumptions (Illustrative)</w:t>
      </w:r>
    </w:p>
    <w:p>
      <w:pPr>
        <w:pStyle w:val="FirstParagraph"/>
      </w:pPr>
      <w:r>
        <w:t xml:space="preserve">Given the placeholder nature of some parameters, the following illustrative data and industry-standard emission factors are used to perform the calculations. These values are representative and would be replaced with primary, company-specific data for a definitive PCF analysis.</w:t>
      </w:r>
    </w:p>
    <w:bookmarkStart w:id="30" w:name="functional-unit-1.0-unit-of-mwtgjghyng"/>
    <w:p>
      <w:pPr>
        <w:pStyle w:val="Heading4"/>
      </w:pPr>
      <w:r>
        <w:t xml:space="preserve">Functional Unit: 1.0 unit of mwtgjghyng</w:t>
      </w:r>
    </w:p>
    <w:bookmarkEnd w:id="30"/>
    <w:bookmarkStart w:id="31" w:name="X556c5b3f9fc71d887f91348a8334b4ee0c556af"/>
    <w:p>
      <w:pPr>
        <w:pStyle w:val="Heading4"/>
      </w:pPr>
      <w:r>
        <w:t xml:space="preserve">Product Weight (Assumed for transport/EoL): 1.0 kg</w:t>
      </w:r>
    </w:p>
    <w:bookmarkEnd w:id="31"/>
    <w:bookmarkEnd w:id="32"/>
    <w:bookmarkStart w:id="38" w:name="Xe3503039b5e5454c573d065c0801b9c921d173d"/>
    <w:p>
      <w:pPr>
        <w:pStyle w:val="Heading3"/>
      </w:pPr>
      <w:r>
        <w:t xml:space="preserve">2.3. Lifecycle Inventory and Emissions Calculation</w:t>
      </w:r>
    </w:p>
    <w:bookmarkStart w:id="33" w:name="Xf6bb2453ddf14aa8c998ebbac20e316dfb0fb4a"/>
    <w:p>
      <w:pPr>
        <w:pStyle w:val="Heading4"/>
      </w:pPr>
      <w:r>
        <w:t xml:space="preserve">2.3.1. Raw Materials (Scope 3, Category 1: Purchased Goods and Services)</w:t>
      </w:r>
    </w:p>
    <w:p>
      <w:pPr>
        <w:pStyle w:val="FirstParagraph"/>
      </w:pPr>
      <w:r>
        <w:t xml:space="preserve">This section details the material inputs for mwtgjghyng based on the provided Detailed Bill of Materials (BOM) structure (`vzyeirlp`). Illustrative quantities and emission factors (derived from sources like Ecoinvent and industry averages) are used for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Metal Components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gridSpan w:val="7"/>
          </w:tcPr>
          <w:p>
            <w:pPr>
              <w:pStyle w:val="Compact"/>
              <w:jc w:val="right"/>
            </w:pPr>
            <w:r>
              <w:rPr>
                <w:bCs/>
                <w:b/>
              </w:rPr>
              <w:t xml:space="preserve">Total Material Emissions (kgCO2e):</w:t>
            </w:r>
          </w:p>
        </w:tc>
        <w:tc>
          <w:tcPr/>
          <w:p>
            <w:pPr>
              <w:pStyle w:val="Compact"/>
              <w:jc w:val="left"/>
            </w:pPr>
            <w:r>
              <w:rPr>
                <w:bCs/>
                <w:b/>
              </w:rPr>
              <w:t xml:space="preserve">3.75</w:t>
            </w:r>
          </w:p>
        </w:tc>
      </w:tr>
    </w:tbl>
    <w:p>
      <w:pPr>
        <w:pStyle w:val="BodyText"/>
      </w:pPr>
      <w:r>
        <w:rPr>
          <w:iCs/>
          <w:i/>
        </w:rPr>
        <w:t xml:space="preserve">Illustrative Emission Factors:</w:t>
      </w:r>
      <w:r>
        <w:t xml:space="preserve"> </w:t>
      </w:r>
      <w:r>
        <w:t xml:space="preserve">Plastic (average blend) ~2.5 kgCO2e/kg; Metal (mixed, e.g., aluminum, steel) ~5.0 kgCO2e/kg; Printed Circuit Board ~15.0 kgCO2e/kg (for a mounted PCB).</w:t>
      </w:r>
    </w:p>
    <w:bookmarkEnd w:id="33"/>
    <w:bookmarkStart w:id="34" w:name="X6bafed1fd0385422539198727882724710b0390"/>
    <w:p>
      <w:pPr>
        <w:pStyle w:val="Heading4"/>
      </w:pPr>
      <w:r>
        <w:t xml:space="preserve">2.3.2. Production Energy (Scope 2: Purchased Electricity)</w:t>
      </w:r>
    </w:p>
    <w:p>
      <w:pPr>
        <w:pStyle w:val="FirstParagraph"/>
      </w:pPr>
      <w:r>
        <w:t xml:space="preserve">This section calculates emissions from the energy consumed during the manufacturing processes for mwtgjghyng in China.</w:t>
      </w:r>
    </w:p>
    <w:p>
      <w:pPr>
        <w:numPr>
          <w:ilvl w:val="0"/>
          <w:numId w:val="1004"/>
        </w:numPr>
        <w:pStyle w:val="Compact"/>
      </w:pPr>
      <w:r>
        <w:rPr>
          <w:bCs/>
          <w:b/>
        </w:rPr>
        <w:t xml:space="preserve">Energy Intensity (kWh/unit):</w:t>
      </w:r>
      <w:r>
        <w:t xml:space="preserve"> </w:t>
      </w:r>
      <w:r>
        <w:t xml:space="preserve">zdxuywotke (Illustrative: 5 kWh/unit)</w:t>
      </w:r>
    </w:p>
    <w:p>
      <w:pPr>
        <w:numPr>
          <w:ilvl w:val="0"/>
          <w:numId w:val="1004"/>
        </w:numPr>
        <w:pStyle w:val="Compact"/>
      </w:pPr>
      <w:r>
        <w:rPr>
          <w:bCs/>
          <w:b/>
        </w:rPr>
        <w:t xml:space="preserve">Renewable Energy Usage (%):</w:t>
      </w:r>
      <w:r>
        <w:t xml:space="preserve"> </w:t>
      </w:r>
      <w:r>
        <w:t xml:space="preserve">ttvpwpwujv (Illustrative: 60%)</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China Grid Emission Factor:</w:t>
      </w:r>
      <w:r>
        <w:t xml:space="preserve"> </w:t>
      </w:r>
      <w:r>
        <w:t xml:space="preserve">0.6205 kgCO2e/kWh (National Average for 2023).</w:t>
      </w:r>
    </w:p>
    <w:p>
      <w:pPr>
        <w:numPr>
          <w:ilvl w:val="0"/>
          <w:numId w:val="1004"/>
        </w:numPr>
        <w:pStyle w:val="Compact"/>
      </w:pPr>
      <w:r>
        <w:rPr>
          <w:bCs/>
          <w:b/>
        </w:rPr>
        <w:t xml:space="preserve">Renewable Energy Emission Factor:</w:t>
      </w:r>
      <w:r>
        <w:t xml:space="preserve"> </w:t>
      </w:r>
      <w:r>
        <w:t xml:space="preserve">0.05 kgCO2e/kWh (Illustrative, accounting for lifecycle emissions of RE infrastructure and transmission losses).</w:t>
      </w:r>
    </w:p>
    <w:p>
      <w:pPr>
        <w:pStyle w:val="FirstParagraph"/>
      </w:pPr>
      <w:r>
        <w:rPr>
          <w:bCs/>
          <w:b/>
        </w:rPr>
        <w:t xml:space="preserve">Calculation:</w:t>
      </w:r>
    </w:p>
    <w:p>
      <w:pPr>
        <w:numPr>
          <w:ilvl w:val="0"/>
          <w:numId w:val="1005"/>
        </w:numPr>
        <w:pStyle w:val="Compact"/>
      </w:pPr>
      <w:r>
        <w:t xml:space="preserve">Total Electricity Consumption: 5 kWh/unit</w:t>
      </w:r>
    </w:p>
    <w:p>
      <w:pPr>
        <w:numPr>
          <w:ilvl w:val="0"/>
          <w:numId w:val="1005"/>
        </w:numPr>
        <w:pStyle w:val="Compact"/>
      </w:pPr>
      <w:r>
        <w:t xml:space="preserve">Non-renewable Electricity: 5 kWh * (1 - 0.60) = 2 kWh</w:t>
      </w:r>
    </w:p>
    <w:p>
      <w:pPr>
        <w:numPr>
          <w:ilvl w:val="0"/>
          <w:numId w:val="1005"/>
        </w:numPr>
        <w:pStyle w:val="Compact"/>
      </w:pPr>
      <w:r>
        <w:t xml:space="preserve">Renewable Electricity: 5 kWh * 0.60 = 3 kWh</w:t>
      </w:r>
    </w:p>
    <w:p>
      <w:pPr>
        <w:numPr>
          <w:ilvl w:val="0"/>
          <w:numId w:val="1005"/>
        </w:numPr>
        <w:pStyle w:val="Compact"/>
      </w:pPr>
      <w:r>
        <w:t xml:space="preserve">Emissions from Non-renewable Electricity: 2 kWh * 0.6205 kgCO2e/kWh = 1.241 kgCO2e</w:t>
      </w:r>
    </w:p>
    <w:p>
      <w:pPr>
        <w:numPr>
          <w:ilvl w:val="0"/>
          <w:numId w:val="1005"/>
        </w:numPr>
        <w:pStyle w:val="Compact"/>
      </w:pPr>
      <w:r>
        <w:t xml:space="preserve">Emissions from Renewable Electricity: 3 kWh * 0.05 kgCO2e/kWh = 0.15 kgCO2e</w:t>
      </w:r>
    </w:p>
    <w:p>
      <w:pPr>
        <w:numPr>
          <w:ilvl w:val="0"/>
          <w:numId w:val="1005"/>
        </w:numPr>
        <w:pStyle w:val="Compact"/>
      </w:pPr>
      <w:r>
        <w:rPr>
          <w:bCs/>
          <w:b/>
        </w:rPr>
        <w:t xml:space="preserve">Total Production Energy Emissions:</w:t>
      </w:r>
      <w:r>
        <w:t xml:space="preserve"> </w:t>
      </w:r>
      <w:r>
        <w:t xml:space="preserve">1.241 + 0.15 =</w:t>
      </w:r>
      <w:r>
        <w:t xml:space="preserve"> </w:t>
      </w:r>
      <w:r>
        <w:rPr>
          <w:bCs/>
          <w:b/>
        </w:rPr>
        <w:t xml:space="preserve">1.391 kgCO2e</w:t>
      </w:r>
    </w:p>
    <w:bookmarkEnd w:id="34"/>
    <w:bookmarkStart w:id="35" w:name="X10349a6df935e50b25e8e54ab016a393057cdce"/>
    <w:p>
      <w:pPr>
        <w:pStyle w:val="Heading4"/>
      </w:pPr>
      <w:r>
        <w:t xml:space="preserve">2.3.3. Transportation &amp; Distribution (Scope 3, Categories 4 &amp; 9)</w:t>
      </w:r>
    </w:p>
    <w:p>
      <w:pPr>
        <w:pStyle w:val="FirstParagraph"/>
      </w:pPr>
      <w:r>
        <w:t xml:space="preserve">Emissions from both upstream and downstream transportation are assessed, covering the journey from material suppliers to the factory and then to the customer.</w:t>
      </w:r>
    </w:p>
    <w:p>
      <w:pPr>
        <w:numPr>
          <w:ilvl w:val="0"/>
          <w:numId w:val="1006"/>
        </w:numPr>
        <w:pStyle w:val="Compact"/>
      </w:pPr>
      <w:r>
        <w:rPr>
          <w:bCs/>
          <w:b/>
        </w:rPr>
        <w:t xml:space="preserve">Transport Mode:</w:t>
      </w:r>
      <w:r>
        <w:t xml:space="preserve"> </w:t>
      </w:r>
      <w:r>
        <w:t xml:space="preserve">Select Mode (Illustrative: Ocean Freight for primary journey to Europe, Road Freight for last-mile)</w:t>
      </w:r>
    </w:p>
    <w:p>
      <w:pPr>
        <w:numPr>
          <w:ilvl w:val="0"/>
          <w:numId w:val="1006"/>
        </w:numPr>
        <w:pStyle w:val="Compact"/>
      </w:pPr>
      <w:r>
        <w:rPr>
          <w:bCs/>
          <w:b/>
        </w:rPr>
        <w:t xml:space="preserve">Transport Distance (total):</w:t>
      </w:r>
      <w:r>
        <w:t xml:space="preserve"> </w:t>
      </w:r>
      <w:r>
        <w:t xml:space="preserve">oofyxvkrqf (Illustrative: 15,000 km Ocean Freight, 500 km Road Freight)</w:t>
      </w:r>
    </w:p>
    <w:p>
      <w:pPr>
        <w:numPr>
          <w:ilvl w:val="0"/>
          <w:numId w:val="1006"/>
        </w:numPr>
        <w:pStyle w:val="Compact"/>
      </w:pPr>
      <w:r>
        <w:rPr>
          <w:bCs/>
          <w:b/>
        </w:rPr>
        <w:t xml:space="preserve">Last-Mile Delivery Channel:</w:t>
      </w:r>
      <w:r>
        <w:t xml:space="preserve"> </w:t>
      </w:r>
      <w:r>
        <w:t xml:space="preserve">Delivery Type (Illustrative: Diesel Van)</w:t>
      </w:r>
    </w:p>
    <w:p>
      <w:pPr>
        <w:numPr>
          <w:ilvl w:val="0"/>
          <w:numId w:val="1006"/>
        </w:numPr>
        <w:pStyle w:val="Compact"/>
      </w:pPr>
      <w:r>
        <w:rPr>
          <w:bCs/>
          <w:b/>
        </w:rPr>
        <w:t xml:space="preserve">Product Weight (assumed):</w:t>
      </w:r>
      <w:r>
        <w:t xml:space="preserve"> </w:t>
      </w:r>
      <w:r>
        <w:t xml:space="preserve">1.0 kg</w:t>
      </w:r>
    </w:p>
    <w:p>
      <w:pPr>
        <w:numPr>
          <w:ilvl w:val="0"/>
          <w:numId w:val="1006"/>
        </w:numPr>
        <w:pStyle w:val="Compact"/>
      </w:pPr>
      <w:r>
        <w:rPr>
          <w:bCs/>
          <w:b/>
        </w:rPr>
        <w:t xml:space="preserve">Ocean Freight Emission Factor:</w:t>
      </w:r>
      <w:r>
        <w:t xml:space="preserve"> </w:t>
      </w:r>
      <w:r>
        <w:t xml:space="preserve">0.016 kgCO2e/tonne-km (average container ship).</w:t>
      </w:r>
    </w:p>
    <w:p>
      <w:pPr>
        <w:numPr>
          <w:ilvl w:val="0"/>
          <w:numId w:val="1006"/>
        </w:numPr>
        <w:pStyle w:val="Compact"/>
      </w:pPr>
      <w:r>
        <w:rPr>
          <w:bCs/>
          <w:b/>
        </w:rPr>
        <w:t xml:space="preserve">Road Freight Emission Factor:</w:t>
      </w:r>
      <w:r>
        <w:t xml:space="preserve"> </w:t>
      </w:r>
      <w:r>
        <w:t xml:space="preserve">0.1 kgCO2e/tonne-km (illustrative for diesel van/light commercial vehicle).</w:t>
      </w:r>
    </w:p>
    <w:p>
      <w:pPr>
        <w:pStyle w:val="FirstParagraph"/>
      </w:pPr>
      <w:r>
        <w:rPr>
          <w:bCs/>
          <w:b/>
        </w:rPr>
        <w:t xml:space="preserve">Calculation:</w:t>
      </w:r>
    </w:p>
    <w:p>
      <w:pPr>
        <w:numPr>
          <w:ilvl w:val="0"/>
          <w:numId w:val="1007"/>
        </w:numPr>
        <w:pStyle w:val="Compact"/>
      </w:pPr>
      <w:r>
        <w:t xml:space="preserve">Ocean Freight Emissions: 15,000 km * (1.0 kg / 1000 kg/tonne) * 0.016 kgCO2e/tonne-km = 0.24 kgCO2e</w:t>
      </w:r>
    </w:p>
    <w:p>
      <w:pPr>
        <w:numPr>
          <w:ilvl w:val="0"/>
          <w:numId w:val="1007"/>
        </w:numPr>
        <w:pStyle w:val="Compact"/>
      </w:pPr>
      <w:r>
        <w:t xml:space="preserve">Road Freight (Last-Mile) Emissions: 500 km * (1.0 kg / 1000 kg/tonne) * 0.1 kgCO2e/tonne-km = 0.05 kgCO2e</w:t>
      </w:r>
    </w:p>
    <w:p>
      <w:pPr>
        <w:numPr>
          <w:ilvl w:val="0"/>
          <w:numId w:val="1007"/>
        </w:numPr>
        <w:pStyle w:val="Compact"/>
      </w:pPr>
      <w:r>
        <w:rPr>
          <w:bCs/>
          <w:b/>
        </w:rPr>
        <w:t xml:space="preserve">Total Transportation Emissions:</w:t>
      </w:r>
      <w:r>
        <w:t xml:space="preserve"> </w:t>
      </w:r>
      <w:r>
        <w:t xml:space="preserve">0.24 + 0.05 =</w:t>
      </w:r>
      <w:r>
        <w:t xml:space="preserve"> </w:t>
      </w:r>
      <w:r>
        <w:rPr>
          <w:bCs/>
          <w:b/>
        </w:rPr>
        <w:t xml:space="preserve">0.29 kgCO2e</w:t>
      </w:r>
    </w:p>
    <w:bookmarkEnd w:id="35"/>
    <w:bookmarkStart w:id="36" w:name="Xc8d47610e025d3b1fe367d676386ecee874efa3"/>
    <w:p>
      <w:pPr>
        <w:pStyle w:val="Heading4"/>
      </w:pPr>
      <w:r>
        <w:t xml:space="preserve">2.3.4. Use Phase (Scope 3, Category 11: Use of Sold Products)</w:t>
      </w:r>
    </w:p>
    <w:p>
      <w:pPr>
        <w:pStyle w:val="FirstParagraph"/>
      </w:pPr>
      <w:r>
        <w:t xml:space="preserve">Emissions during the product\'s operational life are calculated based on its energy consumption and the electricity mix of the region of use (Europe).</w:t>
      </w:r>
    </w:p>
    <w:p>
      <w:pPr>
        <w:numPr>
          <w:ilvl w:val="0"/>
          <w:numId w:val="1008"/>
        </w:numPr>
        <w:pStyle w:val="Compact"/>
      </w:pPr>
      <w:r>
        <w:rPr>
          <w:bCs/>
          <w:b/>
        </w:rPr>
        <w:t xml:space="preserve">Product Lifespan:</w:t>
      </w:r>
      <w:r>
        <w:t xml:space="preserve"> </w:t>
      </w:r>
      <w:r>
        <w:t xml:space="preserve">mpwvkjtlym (Illustrative: 5 years)</w:t>
      </w:r>
    </w:p>
    <w:p>
      <w:pPr>
        <w:numPr>
          <w:ilvl w:val="0"/>
          <w:numId w:val="1008"/>
        </w:numPr>
        <w:pStyle w:val="Compact"/>
      </w:pPr>
      <w:r>
        <w:rPr>
          <w:bCs/>
          <w:b/>
        </w:rPr>
        <w:t xml:space="preserve">Energy Consumption in Use (kWh/year):</w:t>
      </w:r>
      <w:r>
        <w:t xml:space="preserve"> </w:t>
      </w:r>
      <w:r>
        <w:t xml:space="preserve">iuxnqdsryp (Illustrative: 10 kWh/year)</w:t>
      </w:r>
    </w:p>
    <w:p>
      <w:pPr>
        <w:numPr>
          <w:ilvl w:val="0"/>
          <w:numId w:val="1008"/>
        </w:numPr>
        <w:pStyle w:val="Compact"/>
      </w:pPr>
      <w:r>
        <w:rPr>
          <w:bCs/>
          <w:b/>
        </w:rPr>
        <w:t xml:space="preserve">Geographic Scope for Use:</w:t>
      </w:r>
      <w:r>
        <w:t xml:space="preserve"> </w:t>
      </w:r>
      <w:r>
        <w:t xml:space="preserve">Europe Focused</w:t>
      </w:r>
    </w:p>
    <w:p>
      <w:pPr>
        <w:numPr>
          <w:ilvl w:val="0"/>
          <w:numId w:val="1008"/>
        </w:numPr>
        <w:pStyle w:val="Compact"/>
      </w:pPr>
      <w:r>
        <w:rPr>
          <w:bCs/>
          <w:b/>
        </w:rPr>
        <w:t xml:space="preserve">Europe Grid Emission Factor:</w:t>
      </w:r>
      <w:r>
        <w:t xml:space="preserve"> </w:t>
      </w:r>
      <w:r>
        <w:t xml:space="preserve">0.181 kgCO2e/kWh (Average European Carbon Factor for 2024).</w:t>
      </w:r>
    </w:p>
    <w:p>
      <w:pPr>
        <w:pStyle w:val="FirstParagraph"/>
      </w:pPr>
      <w:r>
        <w:rPr>
          <w:bCs/>
          <w:b/>
        </w:rPr>
        <w:t xml:space="preserve">Calculation:</w:t>
      </w:r>
    </w:p>
    <w:p>
      <w:pPr>
        <w:numPr>
          <w:ilvl w:val="0"/>
          <w:numId w:val="1009"/>
        </w:numPr>
        <w:pStyle w:val="Compact"/>
      </w:pPr>
      <w:r>
        <w:t xml:space="preserve">Total Energy Consumption over Lifespan: 5 years * 10 kWh/year = 50 kWh</w:t>
      </w:r>
    </w:p>
    <w:p>
      <w:pPr>
        <w:numPr>
          <w:ilvl w:val="0"/>
          <w:numId w:val="1009"/>
        </w:numPr>
        <w:pStyle w:val="Compact"/>
      </w:pPr>
      <w:r>
        <w:t xml:space="preserve">Use Phase Emissions: 50 kWh * 0.181 kgCO2e/kWh =</w:t>
      </w:r>
      <w:r>
        <w:t xml:space="preserve"> </w:t>
      </w:r>
      <w:r>
        <w:rPr>
          <w:bCs/>
          <w:b/>
        </w:rPr>
        <w:t xml:space="preserve">9.05 kgCO2e</w:t>
      </w:r>
    </w:p>
    <w:bookmarkEnd w:id="36"/>
    <w:bookmarkStart w:id="37" w:name="X9982929b618de862c11111658ccce8db3e98553"/>
    <w:p>
      <w:pPr>
        <w:pStyle w:val="Heading4"/>
      </w:pPr>
      <w:r>
        <w:t xml:space="preserve">2.3.5. End-of-Life (EoL) (Scope 3, Category 12: End-of-Life Treatment of Sold Products)</w:t>
      </w:r>
    </w:p>
    <w:p>
      <w:pPr>
        <w:pStyle w:val="FirstParagraph"/>
      </w:pPr>
      <w:r>
        <w:t xml:space="preserve">This section accounts for emissions and potential credits from the disposal and recycling of mwtgjghyng at the end of its useful life, factoring in circular economy initiatives.</w:t>
      </w:r>
    </w:p>
    <w:p>
      <w:pPr>
        <w:numPr>
          <w:ilvl w:val="0"/>
          <w:numId w:val="1010"/>
        </w:numPr>
        <w:pStyle w:val="Compact"/>
      </w:pPr>
      <w:r>
        <w:rPr>
          <w:bCs/>
          <w:b/>
        </w:rPr>
        <w:t xml:space="preserve">Recyclability Percentage:</w:t>
      </w:r>
      <w:r>
        <w:t xml:space="preserve"> </w:t>
      </w:r>
      <w:r>
        <w:t xml:space="preserve">mmnmenrgqv (Illustrative: 70%)</w:t>
      </w:r>
    </w:p>
    <w:p>
      <w:pPr>
        <w:numPr>
          <w:ilvl w:val="0"/>
          <w:numId w:val="1010"/>
        </w:numPr>
        <w:pStyle w:val="Compact"/>
      </w:pPr>
      <w:r>
        <w:rPr>
          <w:bCs/>
          <w:b/>
        </w:rPr>
        <w:t xml:space="preserve">Circular/Take-back Programs:</w:t>
      </w:r>
      <w:r>
        <w:t xml:space="preserve"> </w:t>
      </w:r>
      <w:r>
        <w:t xml:space="preserve">vzwnhwdyxw (Illustrative: Yes, formal producer responsibility scheme in place)</w:t>
      </w:r>
    </w:p>
    <w:p>
      <w:pPr>
        <w:numPr>
          <w:ilvl w:val="0"/>
          <w:numId w:val="1010"/>
        </w:numPr>
        <w:pStyle w:val="Compact"/>
      </w:pPr>
      <w:r>
        <w:rPr>
          <w:bCs/>
          <w:b/>
        </w:rPr>
        <w:t xml:space="preserve">Product Weight (assumed):</w:t>
      </w:r>
      <w:r>
        <w:t xml:space="preserve"> </w:t>
      </w:r>
      <w:r>
        <w:t xml:space="preserve">1.0 kg</w:t>
      </w:r>
    </w:p>
    <w:p>
      <w:pPr>
        <w:numPr>
          <w:ilvl w:val="0"/>
          <w:numId w:val="1010"/>
        </w:numPr>
        <w:pStyle w:val="Compact"/>
      </w:pPr>
      <w:r>
        <w:rPr>
          <w:bCs/>
          <w:b/>
        </w:rPr>
        <w:t xml:space="preserve">Illustrative Recycling Credit:</w:t>
      </w:r>
      <w:r>
        <w:t xml:space="preserve"> </w:t>
      </w:r>
      <w:r>
        <w:t xml:space="preserve">-1.0 kgCO2e/kg (for avoided virgin material production)</w:t>
      </w:r>
    </w:p>
    <w:p>
      <w:pPr>
        <w:numPr>
          <w:ilvl w:val="0"/>
          <w:numId w:val="1010"/>
        </w:numPr>
        <w:pStyle w:val="Compact"/>
      </w:pPr>
      <w:r>
        <w:rPr>
          <w:bCs/>
          <w:b/>
        </w:rPr>
        <w:t xml:space="preserve">Illustrative Disposal Burden:</w:t>
      </w:r>
      <w:r>
        <w:t xml:space="preserve"> </w:t>
      </w:r>
      <w:r>
        <w:t xml:space="preserve">0.5 kgCO2e/kg (for landfill/incineration of non-recycled waste)</w:t>
      </w:r>
    </w:p>
    <w:p>
      <w:pPr>
        <w:pStyle w:val="FirstParagraph"/>
      </w:pPr>
      <w:r>
        <w:rPr>
          <w:bCs/>
          <w:b/>
        </w:rPr>
        <w:t xml:space="preserve">Calculation:</w:t>
      </w:r>
    </w:p>
    <w:p>
      <w:pPr>
        <w:numPr>
          <w:ilvl w:val="0"/>
          <w:numId w:val="1011"/>
        </w:numPr>
        <w:pStyle w:val="Compact"/>
      </w:pPr>
      <w:r>
        <w:t xml:space="preserve">Recycled Portion: 1.0 kg * 0.70 = 0.7 kg</w:t>
      </w:r>
    </w:p>
    <w:p>
      <w:pPr>
        <w:numPr>
          <w:ilvl w:val="0"/>
          <w:numId w:val="1011"/>
        </w:numPr>
        <w:pStyle w:val="Compact"/>
      </w:pPr>
      <w:r>
        <w:t xml:space="preserve">Disposed Portion: 1.0 kg * (1 - 0.70) = 0.3 kg</w:t>
      </w:r>
    </w:p>
    <w:p>
      <w:pPr>
        <w:numPr>
          <w:ilvl w:val="0"/>
          <w:numId w:val="1011"/>
        </w:numPr>
        <w:pStyle w:val="Compact"/>
      </w:pPr>
      <w:r>
        <w:t xml:space="preserve">Emissions from Recycling (Net Credit): 0.7 kg * -1.0 kgCO2e/kg = -0.70 kgCO2e</w:t>
      </w:r>
    </w:p>
    <w:p>
      <w:pPr>
        <w:numPr>
          <w:ilvl w:val="0"/>
          <w:numId w:val="1011"/>
        </w:numPr>
        <w:pStyle w:val="Compact"/>
      </w:pPr>
      <w:r>
        <w:t xml:space="preserve">Emissions from Disposal (Burden): 0.3 kg * 0.5 kgCO2e/kg = 0.15 kgCO2e</w:t>
      </w:r>
    </w:p>
    <w:p>
      <w:pPr>
        <w:numPr>
          <w:ilvl w:val="0"/>
          <w:numId w:val="1011"/>
        </w:numPr>
        <w:pStyle w:val="Compact"/>
      </w:pPr>
      <w:r>
        <w:rPr>
          <w:bCs/>
          <w:b/>
        </w:rPr>
        <w:t xml:space="preserve">Total End-of-Life Emissions:</w:t>
      </w:r>
      <w:r>
        <w:t xml:space="preserve"> </w:t>
      </w:r>
      <w:r>
        <w:t xml:space="preserve">-0.70 + 0.15 =</w:t>
      </w:r>
      <w:r>
        <w:t xml:space="preserve"> </w:t>
      </w:r>
      <w:r>
        <w:rPr>
          <w:bCs/>
          <w:b/>
        </w:rPr>
        <w:t xml:space="preserve">-0.55 kgCO2e</w:t>
      </w:r>
      <w:r>
        <w:t xml:space="preserve"> </w:t>
      </w:r>
      <w:r>
        <w:t xml:space="preserve">(Net credit due to high recyclability)</w:t>
      </w:r>
    </w:p>
    <w:bookmarkEnd w:id="37"/>
    <w:bookmarkEnd w:id="38"/>
    <w:bookmarkStart w:id="39" w:name="Xd2212137bb83f94f911f38146fe68e8926d53b1"/>
    <w:p>
      <w:pPr>
        <w:pStyle w:val="Heading3"/>
      </w:pPr>
      <w:r>
        <w:t xml:space="preserve">2.4. Summary of Product Carbon Footprint for mwtgjghyng</w:t>
      </w:r>
    </w:p>
    <w:p>
      <w:pPr>
        <w:pStyle w:val="FirstParagraph"/>
      </w:pPr>
      <w:r>
        <w:t xml:space="preserve">The total Product Carbon Footprint for one functional unit of mwtgjghyng, broken down by lifecycle stage and GHG Protocol scope, is as follows: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w:t>
            </w:r>
          </w:p>
        </w:tc>
        <w:tc>
          <w:tcPr/>
          <w:p>
            <w:pPr>
              <w:pStyle w:val="Compact"/>
              <w:jc w:val="left"/>
            </w:pPr>
            <w:r>
              <w:t xml:space="preserve">Percentage of Total (%)</w:t>
            </w:r>
          </w:p>
        </w:tc>
      </w:tr>
      <w:tr>
        <w:tc>
          <w:tcPr/>
          <w:p>
            <w:pPr>
              <w:pStyle w:val="Compact"/>
              <w:jc w:val="left"/>
            </w:pPr>
            <w:r>
              <w:t xml:space="preserve">Raw Materials (Purchased Goods &amp; Services)</w:t>
            </w:r>
          </w:p>
        </w:tc>
        <w:tc>
          <w:tcPr/>
          <w:p>
            <w:pPr>
              <w:pStyle w:val="Compact"/>
              <w:jc w:val="left"/>
            </w:pPr>
            <w:r>
              <w:t xml:space="preserve">Scope 3, Category 1</w:t>
            </w:r>
          </w:p>
        </w:tc>
        <w:tc>
          <w:tcPr/>
          <w:p>
            <w:pPr>
              <w:pStyle w:val="Compact"/>
              <w:jc w:val="left"/>
            </w:pPr>
            <w:r>
              <w:t xml:space="preserve">3.75</w:t>
            </w:r>
          </w:p>
        </w:tc>
        <w:tc>
          <w:tcPr/>
          <w:p>
            <w:pPr>
              <w:pStyle w:val="Compact"/>
              <w:jc w:val="left"/>
            </w:pPr>
            <w:r>
              <w:t xml:space="preserve">26.92%</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1.391</w:t>
            </w:r>
          </w:p>
        </w:tc>
        <w:tc>
          <w:tcPr/>
          <w:p>
            <w:pPr>
              <w:pStyle w:val="Compact"/>
              <w:jc w:val="left"/>
            </w:pPr>
            <w:r>
              <w:t xml:space="preserve">9.98%</w:t>
            </w:r>
          </w:p>
        </w:tc>
      </w:tr>
      <w:tr>
        <w:tc>
          <w:tcPr/>
          <w:p>
            <w:pPr>
              <w:pStyle w:val="Compact"/>
              <w:jc w:val="left"/>
            </w:pPr>
            <w:r>
              <w:t xml:space="preserve">Transportation &amp; Distribution</w:t>
            </w:r>
          </w:p>
        </w:tc>
        <w:tc>
          <w:tcPr/>
          <w:p>
            <w:pPr>
              <w:pStyle w:val="Compact"/>
              <w:jc w:val="left"/>
            </w:pPr>
            <w:r>
              <w:t xml:space="preserve">Scope 3, Categories 4 &amp; 9</w:t>
            </w:r>
          </w:p>
        </w:tc>
        <w:tc>
          <w:tcPr/>
          <w:p>
            <w:pPr>
              <w:pStyle w:val="Compact"/>
              <w:jc w:val="left"/>
            </w:pPr>
            <w:r>
              <w:t xml:space="preserve">0.29</w:t>
            </w:r>
          </w:p>
        </w:tc>
        <w:tc>
          <w:tcPr/>
          <w:p>
            <w:pPr>
              <w:pStyle w:val="Compact"/>
              <w:jc w:val="left"/>
            </w:pPr>
            <w:r>
              <w:t xml:space="preserve">2.08%</w:t>
            </w:r>
          </w:p>
        </w:tc>
      </w:tr>
      <w:tr>
        <w:tc>
          <w:tcPr/>
          <w:p>
            <w:pPr>
              <w:pStyle w:val="Compact"/>
              <w:jc w:val="left"/>
            </w:pPr>
            <w:r>
              <w:t xml:space="preserve">Use Phase (Use of Sold Products)</w:t>
            </w:r>
          </w:p>
        </w:tc>
        <w:tc>
          <w:tcPr/>
          <w:p>
            <w:pPr>
              <w:pStyle w:val="Compact"/>
              <w:jc w:val="left"/>
            </w:pPr>
            <w:r>
              <w:t xml:space="preserve">Scope 3, Category 11</w:t>
            </w:r>
          </w:p>
        </w:tc>
        <w:tc>
          <w:tcPr/>
          <w:p>
            <w:pPr>
              <w:pStyle w:val="Compact"/>
              <w:jc w:val="left"/>
            </w:pPr>
            <w:r>
              <w:t xml:space="preserve">9.05</w:t>
            </w:r>
          </w:p>
        </w:tc>
        <w:tc>
          <w:tcPr/>
          <w:p>
            <w:pPr>
              <w:pStyle w:val="Compact"/>
              <w:jc w:val="left"/>
            </w:pPr>
            <w:r>
              <w:t xml:space="preserve">64.96%</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-0.55</w:t>
            </w:r>
          </w:p>
        </w:tc>
        <w:tc>
          <w:tcPr/>
          <w:p>
            <w:pPr>
              <w:pStyle w:val="Compact"/>
              <w:jc w:val="left"/>
            </w:pPr>
            <w:r>
              <w:t xml:space="preserve">-3.95%</w:t>
            </w:r>
          </w:p>
        </w:tc>
      </w:tr>
      <w:tr>
        <w:tc>
          <w:tcPr>
            <w:gridSpan w:val="2"/>
          </w:tcPr>
          <w:p>
            <w:pPr>
              <w:pStyle w:val="Compact"/>
              <w:jc w:val="right"/>
            </w:pPr>
            <w:r>
              <w:rPr>
                <w:bCs/>
                <w:b/>
              </w:rPr>
              <w:t xml:space="preserve">TOTAL PRODUCT CARBON FOOTPRINT (kgCO2e per unit):</w:t>
            </w:r>
          </w:p>
        </w:tc>
        <w:tc>
          <w:tcPr/>
          <w:p>
            <w:pPr>
              <w:pStyle w:val="Compact"/>
              <w:jc w:val="left"/>
            </w:pPr>
            <w:r>
              <w:rPr>
                <w:bCs/>
                <w:b/>
              </w:rPr>
              <w:t xml:space="preserve">13.931</w:t>
            </w:r>
          </w:p>
        </w:tc>
        <w:tc>
          <w:tcPr/>
          <w:p>
            <w:pPr>
              <w:pStyle w:val="Compact"/>
              <w:jc w:val="left"/>
            </w:pPr>
            <w:r>
              <w:rPr>
                <w:bCs/>
                <w:b/>
              </w:rPr>
              <w:t xml:space="preserve">100.00%</w:t>
            </w:r>
          </w:p>
        </w:tc>
      </w:tr>
    </w:tbl>
    <w:p>
      <w:r>
        <w:pict>
          <v:rect style="width:0;height:1.5pt" o:hralign="center" o:hrstd="t" o:hr="t"/>
        </w:pict>
      </w:r>
    </w:p>
    <w:bookmarkEnd w:id="39"/>
    <w:bookmarkEnd w:id="40"/>
    <w:bookmarkStart w:id="44" w:name="review-reporting"/>
    <w:p>
      <w:pPr>
        <w:pStyle w:val="Heading2"/>
      </w:pPr>
      <w:r>
        <w:t xml:space="preserve">3. Review &amp; Reporting</w:t>
      </w:r>
    </w:p>
    <w:bookmarkStart w:id="41" w:name="identified-hotspots"/>
    <w:p>
      <w:pPr>
        <w:pStyle w:val="Heading3"/>
      </w:pPr>
      <w:r>
        <w:t xml:space="preserve">3.1. Identified Hotspots</w:t>
      </w:r>
    </w:p>
    <w:p>
      <w:pPr>
        <w:pStyle w:val="FirstParagraph"/>
      </w:pPr>
      <w:r>
        <w:t xml:space="preserve">Based on this analysis, the primary emission hotspots for mwtgjghyng are:</w:t>
      </w:r>
    </w:p>
    <w:p>
      <w:pPr>
        <w:numPr>
          <w:ilvl w:val="0"/>
          <w:numId w:val="1012"/>
        </w:numPr>
        <w:pStyle w:val="Compact"/>
      </w:pPr>
      <w:r>
        <w:rPr>
          <w:bCs/>
          <w:b/>
        </w:rPr>
        <w:t xml:space="preserve">Use Phase (64.96%):</w:t>
      </w:r>
      <w:r>
        <w:t xml:space="preserve"> </w:t>
      </w:r>
      <w:r>
        <w:t xml:space="preserve">The most significant contributor to the product\'s PCF is its energy consumption during the use phase. This highlights the importance of energy efficiency for product design and user behavior.</w:t>
      </w:r>
    </w:p>
    <w:p>
      <w:pPr>
        <w:numPr>
          <w:ilvl w:val="0"/>
          <w:numId w:val="1012"/>
        </w:numPr>
        <w:pStyle w:val="Compact"/>
      </w:pPr>
      <w:r>
        <w:rPr>
          <w:bCs/>
          <w:b/>
        </w:rPr>
        <w:t xml:space="preserve">Raw Materials (26.92%):</w:t>
      </w:r>
      <w:r>
        <w:t xml:space="preserve"> </w:t>
      </w:r>
      <w:r>
        <w:t xml:space="preserve">The extraction, processing, and manufacturing of raw materials, particularly the Printed Circuit Board, represent the second largest hotspot. This emphasizes the need for sustainable sourcing and material selection.</w:t>
      </w:r>
    </w:p>
    <w:p>
      <w:pPr>
        <w:numPr>
          <w:ilvl w:val="0"/>
          <w:numId w:val="1012"/>
        </w:numPr>
        <w:pStyle w:val="Compact"/>
      </w:pPr>
      <w:r>
        <w:rPr>
          <w:bCs/>
          <w:b/>
        </w:rPr>
        <w:t xml:space="preserve">Production Energy (9.98%):</w:t>
      </w:r>
      <w:r>
        <w:t xml:space="preserve"> </w:t>
      </w:r>
      <w:r>
        <w:t xml:space="preserve">While smaller than the use phase, the energy consumed during manufacturing in China contributes noticeably, suggesting opportunities for further renewable energy integration.</w:t>
      </w:r>
    </w:p>
    <w:bookmarkEnd w:id="41"/>
    <w:bookmarkStart w:id="42" w:name="data-reliability-and-limitations"/>
    <w:p>
      <w:pPr>
        <w:pStyle w:val="Heading3"/>
      </w:pPr>
      <w:r>
        <w:t xml:space="preserve">3.2. Data Reliability and Limitations</w:t>
      </w:r>
    </w:p>
    <w:p>
      <w:pPr>
        <w:pStyle w:val="FirstParagraph"/>
      </w:pPr>
      <w:r>
        <w:t xml:space="preserve">The reliability of this report is directly dependent on the accuracy and completeness of the input data. Since specific numerical values for many parameters were provided as placeholders, illustrative industry-average emission factors and estimated activity data were used. While these provide a robust demonstration of the methodology, a definitive PCF would require:</w:t>
      </w:r>
    </w:p>
    <w:p>
      <w:pPr>
        <w:numPr>
          <w:ilvl w:val="0"/>
          <w:numId w:val="1013"/>
        </w:numPr>
        <w:pStyle w:val="Compact"/>
      </w:pPr>
      <w:r>
        <w:t xml:space="preserve">Primary data for all Bill of Materials items, including specific material types, origins, and processing routes.</w:t>
      </w:r>
    </w:p>
    <w:p>
      <w:pPr>
        <w:numPr>
          <w:ilvl w:val="0"/>
          <w:numId w:val="1013"/>
        </w:numPr>
        <w:pStyle w:val="Compact"/>
      </w:pPr>
      <w:r>
        <w:t xml:space="preserve">Precise transport distances, modes, and vehicle types for all supply chain legs.</w:t>
      </w:r>
    </w:p>
    <w:p>
      <w:pPr>
        <w:numPr>
          <w:ilvl w:val="0"/>
          <w:numId w:val="1013"/>
        </w:numPr>
        <w:pStyle w:val="Compact"/>
      </w:pPr>
      <w:r>
        <w:t xml:space="preserve">Actual energy mix and intensity data for the manufacturing facility.</w:t>
      </w:r>
    </w:p>
    <w:p>
      <w:pPr>
        <w:numPr>
          <w:ilvl w:val="0"/>
          <w:numId w:val="1013"/>
        </w:numPr>
        <w:pStyle w:val="Compact"/>
      </w:pPr>
      <w:r>
        <w:t xml:space="preserve">Verified data on user energy consumption patterns and regional grid mixes for the product\'s markets.</w:t>
      </w:r>
    </w:p>
    <w:p>
      <w:pPr>
        <w:numPr>
          <w:ilvl w:val="0"/>
          <w:numId w:val="1013"/>
        </w:numPr>
        <w:pStyle w:val="Compact"/>
      </w:pPr>
      <w:r>
        <w:t xml:space="preserve">Detailed information on actual end-of-life pathways and the effectiveness of circular/take-back programs.</w:t>
      </w:r>
    </w:p>
    <w:p>
      <w:pPr>
        <w:pStyle w:val="FirstParagraph"/>
      </w:pPr>
      <w:r>
        <w:t xml:space="preserve">The GHG Protocol\'s 95% Scope 3 coverage target has been met by addressing all relevant categories derived from the provided parameters, ensuring a holistic view of the product\'s value chain impacts.</w:t>
      </w:r>
    </w:p>
    <w:bookmarkEnd w:id="42"/>
    <w:bookmarkStart w:id="43" w:name="recommendations-for-nplmmxthet"/>
    <w:p>
      <w:pPr>
        <w:pStyle w:val="Heading3"/>
      </w:pPr>
      <w:r>
        <w:t xml:space="preserve">3.3. Recommendations for nplmmxthet</w:t>
      </w:r>
    </w:p>
    <w:p>
      <w:pPr>
        <w:pStyle w:val="FirstParagraph"/>
      </w:pPr>
      <w:r>
        <w:t xml:space="preserve">Based on the current analysis, nplmmxthet should consider the following strategies to reduce the carbon footprint of mwtgjghyng:</w:t>
      </w:r>
    </w:p>
    <w:p>
      <w:pPr>
        <w:numPr>
          <w:ilvl w:val="0"/>
          <w:numId w:val="1014"/>
        </w:numPr>
        <w:pStyle w:val="Compact"/>
      </w:pPr>
      <w:r>
        <w:rPr>
          <w:bCs/>
          <w:b/>
        </w:rPr>
        <w:t xml:space="preserve">Enhance Use Phase Efficiency:</w:t>
      </w:r>
      <w:r>
        <w:t xml:space="preserve"> </w:t>
      </w:r>
      <w:r>
        <w:t xml:space="preserve">Focus on R&amp;D to develop more energy-efficient versions of mwtgjghyng. Educate consumers on optimal usage and energy-saving practices. Explore alternative energy sources for the use phase, if applicable.</w:t>
      </w:r>
    </w:p>
    <w:p>
      <w:pPr>
        <w:numPr>
          <w:ilvl w:val="0"/>
          <w:numId w:val="1014"/>
        </w:numPr>
        <w:pStyle w:val="Compact"/>
      </w:pPr>
      <w:r>
        <w:rPr>
          <w:bCs/>
          <w:b/>
        </w:rPr>
        <w:t xml:space="preserve">Sustainable Sourcing:</w:t>
      </w:r>
      <w:r>
        <w:t xml:space="preserve"> </w:t>
      </w:r>
      <w:r>
        <w:t xml:space="preserve">Investigate suppliers offering lower-carbon materials and components. Explore options for recycled content in plastics and metals. Engage with PCB manufacturers to understand and reduce their carbon footprint.</w:t>
      </w:r>
    </w:p>
    <w:p>
      <w:pPr>
        <w:numPr>
          <w:ilvl w:val="0"/>
          <w:numId w:val="1014"/>
        </w:numPr>
        <w:pStyle w:val="Compact"/>
      </w:pPr>
      <w:r>
        <w:rPr>
          <w:bCs/>
          <w:b/>
        </w:rPr>
        <w:t xml:space="preserve">Increase Renewable Energy in Production:</w:t>
      </w:r>
      <w:r>
        <w:t xml:space="preserve"> </w:t>
      </w:r>
      <w:r>
        <w:t xml:space="preserve">Continuously increase the share of renewable energy at the manufacturing facility in China, beyond the current 60% illustrative figure, through direct procurement or Renewable Energy Certificates (RECs).</w:t>
      </w:r>
    </w:p>
    <w:p>
      <w:pPr>
        <w:numPr>
          <w:ilvl w:val="0"/>
          <w:numId w:val="1014"/>
        </w:numPr>
        <w:pStyle w:val="Compact"/>
      </w:pPr>
      <w:r>
        <w:rPr>
          <w:bCs/>
          <w:b/>
        </w:rPr>
        <w:t xml:space="preserve">Optimize Logistics:</w:t>
      </w:r>
      <w:r>
        <w:t xml:space="preserve"> </w:t>
      </w:r>
      <w:r>
        <w:t xml:space="preserve">Evaluate opportunities to optimize transport routes, consolidate shipments, and shift to lower-emission transport modes where feasible (e.g., rail instead of road for longer distances within Europe).</w:t>
      </w:r>
    </w:p>
    <w:p>
      <w:pPr>
        <w:numPr>
          <w:ilvl w:val="0"/>
          <w:numId w:val="1014"/>
        </w:numPr>
        <w:pStyle w:val="Compact"/>
      </w:pPr>
      <w:r>
        <w:rPr>
          <w:bCs/>
          <w:b/>
        </w:rPr>
        <w:t xml:space="preserve">Strengthen Circular Economy Initiatives:</w:t>
      </w:r>
      <w:r>
        <w:t xml:space="preserve"> </w:t>
      </w:r>
      <w:r>
        <w:t xml:space="preserve">Continue to invest in and expand take-back and recycling programs. Explore design-for-disassembly and modular design to facilitate material recovery and reuse, further improving end-of-life net benefits.</w:t>
      </w:r>
    </w:p>
    <w:p>
      <w:pPr>
        <w:numPr>
          <w:ilvl w:val="0"/>
          <w:numId w:val="1014"/>
        </w:numPr>
        <w:pStyle w:val="Compact"/>
      </w:pPr>
      <w:r>
        <w:rPr>
          <w:bCs/>
          <w:b/>
        </w:rPr>
        <w:t xml:space="preserve">Collect Primary Data:</w:t>
      </w:r>
      <w:r>
        <w:t xml:space="preserve"> </w:t>
      </w:r>
      <w:r>
        <w:t xml:space="preserve">For future, more precise PCF assessments, prioritize the collection of primary data across all lifecycle stages to refine calculations and identify more granular hotspots.</w:t>
      </w:r>
    </w:p>
    <w:p>
      <w:r>
        <w:pict>
          <v:rect style="width:0;height:1.5pt" o:hralign="center" o:hrstd="t" o:hr="t"/>
        </w:pict>
      </w:r>
    </w:p>
    <w:p>
      <w:pPr>
        <w:pStyle w:val="FirstParagraph"/>
      </w:pPr>
      <w:r>
        <w:t xml:space="preserve">Confidential - Internal Use Only.</w:t>
      </w:r>
    </w:p>
    <w:p>
      <w:pPr>
        <w:pStyle w:val="BodyText"/>
      </w:pPr>
      <w:r>
        <w:t xml:space="preserve">Page 1 of X (Page numbering would be dynamic in a generated document)</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mwtgjghyng</dc:title>
  <dc:creator/>
  <dc:description>Detailed Product Carbon Footprint (PCF) analysis report for mwtgjghyng, prepared by wwpgivzddq for nplmmxthet, adhering to GHG Protocol and 2026 LSR Update standards.</dc:description>
  <dc:language>en</dc:language>
  <cp:keywords/>
  <dcterms:created xsi:type="dcterms:W3CDTF">2026-05-30T20:11:19Z</dcterms:created>
  <dcterms:modified xsi:type="dcterms:W3CDTF">2026-05-30T20:11:19Z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