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mtjrjrvxls</w:t>
      </w:r>
    </w:p>
    <w:p>
      <w:pPr>
        <w:pStyle w:val="FirstParagraph"/>
      </w:pPr>
      <w:r>
        <w:rPr>
          <w:bCs/>
          <w:b/>
        </w:rP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 Name:</w:t>
      </w:r>
      <w:r>
        <w:t xml:space="preserve"> </w:t>
      </w:r>
      <w:r>
        <w:t xml:space="preserve">mtjrjrvxls</w:t>
      </w:r>
    </w:p>
    <w:p>
      <w:pPr>
        <w:pStyle w:val="BodyText"/>
      </w:pPr>
      <w:r>
        <w:rPr>
          <w:bCs/>
          <w:b/>
        </w:rPr>
        <w:t xml:space="preserve">Company Name:</w:t>
      </w:r>
      <w:r>
        <w:t xml:space="preserve"> </w:t>
      </w:r>
      <w:r>
        <w:t xml:space="preserve">qeonfuovqy</w:t>
      </w:r>
    </w:p>
    <w:p>
      <w:pPr>
        <w:pStyle w:val="BodyText"/>
      </w:pPr>
      <w:r>
        <w:rPr>
          <w:bCs/>
          <w:b/>
        </w:rPr>
        <w:t xml:space="preserve">Senior Sustainability Consultant:</w:t>
      </w:r>
      <w:r>
        <w:t xml:space="preserve"> </w:t>
      </w:r>
      <w:r>
        <w:t xml:space="preserve">ihieuijqik</w:t>
      </w:r>
    </w:p>
    <w:p>
      <w:pPr>
        <w:pStyle w:val="BodyText"/>
      </w:pPr>
      <w:r>
        <w:rPr>
          <w:bCs/>
          <w:b/>
        </w:rPr>
        <w:t xml:space="preserve">Protocol Data (Accounting Standard):</w:t>
      </w:r>
      <w:r>
        <w:t xml:space="preserve"> </w:t>
      </w:r>
      <w:r>
        <w:t xml:space="preserve">GHG Protocol</w:t>
      </w:r>
    </w:p>
    <w:p>
      <w:pPr>
        <w:pStyle w:val="BodyText"/>
      </w:pPr>
      <w:r>
        <w:t xml:space="preserve">Disclaimer: This report is generated based on available data and industry standards. While efforts have been made to ensure accuracy and adherence to the specified parameters, actual emissions may vary based on real-world conditions and further granular data collection.</w:t>
      </w:r>
    </w:p>
    <w:bookmarkEnd w:id="20"/>
    <w:bookmarkStart w:id="42" w:name="X10fa0b69b98ca2d8ba7f737fe488b38bfbafd2b"/>
    <w:p>
      <w:pPr>
        <w:pStyle w:val="Heading1"/>
      </w:pPr>
      <w:r>
        <w:t xml:space="preserve">Product Carbon Footprint (PCF) Analysis Report for mtjrjrvxls</w:t>
      </w:r>
    </w:p>
    <w:p>
      <w:pPr>
        <w:pStyle w:val="FirstParagraph"/>
      </w:pPr>
      <w:r>
        <w:rPr>
          <w:bCs/>
          <w:b/>
        </w:rPr>
        <w:t xml:space="preserve">Generated Date:</w:t>
      </w:r>
      <w:r>
        <w:t xml:space="preserve"> </w:t>
      </w:r>
      <w:r>
        <w:t xml:space="preserve">May 22,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 "mtjrjrvxls", manufactured by qeonfuovqy. The analysis was conducted by Senior Sustainability Consultant ihieuijqik, adhering strictly to the GHG Protocol. The total cradle-to-grave PCF for one functional unit of mtjrjrvxls is calculated to be</w:t>
      </w:r>
      <w:r>
        <w:t xml:space="preserve"> </w:t>
      </w:r>
      <w:r>
        <w:rPr>
          <w:bCs/>
          <w:b/>
        </w:rPr>
        <w:t xml:space="preserve">10.77 kgCO2e</w:t>
      </w:r>
      <w:r>
        <w:t xml:space="preserve">. The primary emission hotspots identified include the use phase, followed by material acquisition and manufacturing. Significant efforts in renewable energy adoption and circular economy programs contribute positively to reducing the overall footprint.</w:t>
      </w:r>
    </w:p>
    <w:p>
      <w:r>
        <w:pict>
          <v:rect style="width:0;height:1.5pt" o:hralign="center" o:hrstd="t" o:hr="t"/>
        </w:pict>
      </w:r>
    </w:p>
    <w:bookmarkEnd w:id="21"/>
    <w:bookmarkStart w:id="22" w:name="define-scope"/>
    <w:p>
      <w:pPr>
        <w:pStyle w:val="Heading2"/>
      </w:pPr>
      <w:r>
        <w:t xml:space="preserve">1. Define Scope</w:t>
      </w:r>
    </w:p>
    <w:p>
      <w:pPr>
        <w:pStyle w:val="FirstParagraph"/>
      </w:pPr>
      <w:r>
        <w:t xml:space="preserve">This section outlines the foundational parameters for the Product Carbon Footprint (PCF) analysis of the product mtjrjrvxls, in accordance with the GHG Protocol.</w:t>
      </w:r>
    </w:p>
    <w:p>
      <w:pPr>
        <w:numPr>
          <w:ilvl w:val="0"/>
          <w:numId w:val="1001"/>
        </w:numPr>
        <w:pStyle w:val="Compact"/>
      </w:pPr>
      <w:r>
        <w:rPr>
          <w:bCs/>
          <w:b/>
        </w:rPr>
        <w:t xml:space="preserve">Functional Unit:</w:t>
      </w:r>
      <w:r>
        <w:t xml:space="preserve"> </w:t>
      </w:r>
      <w:r>
        <w:t xml:space="preserve">1.0 unit of mtjrjrvxls.</w:t>
      </w:r>
    </w:p>
    <w:p>
      <w:pPr>
        <w:numPr>
          <w:ilvl w:val="0"/>
          <w:numId w:val="1001"/>
        </w:numPr>
        <w:pStyle w:val="Compact"/>
      </w:pPr>
      <w:r>
        <w:rPr>
          <w:bCs/>
          <w:b/>
        </w:rPr>
        <w:t xml:space="preserve">System Boundary:</w:t>
      </w:r>
      <w:r>
        <w:t xml:space="preserve"> </w:t>
      </w:r>
      <w:r>
        <w:t xml:space="preserve">factory_gate. This boundary encompasses all emissions from raw material extraction, processing, inbound transportation, and manufacturing processes up to the point the finished product leaves the factory gate. However, as per specific requirements, the analysis has been extended to include the use phase and end-of-life (EoL) scenarios for a more comprehensive lifecycle perspective, categorized under Scope 3 downstream emissions.</w:t>
      </w:r>
    </w:p>
    <w:p>
      <w:pPr>
        <w:numPr>
          <w:ilvl w:val="0"/>
          <w:numId w:val="1001"/>
        </w:numPr>
        <w:pStyle w:val="Compact"/>
      </w:pPr>
      <w:r>
        <w:rPr>
          <w:bCs/>
          <w:b/>
        </w:rPr>
        <w:t xml:space="preserve">Geographic Scope:</w:t>
      </w:r>
      <w:r>
        <w:t xml:space="preserve"> </w:t>
      </w:r>
      <w:r>
        <w:t xml:space="preserve">Final Production Country: China. Supply Chain Focus: Europe Focused. This implies primary manufacturing occurs in China, with the product then distributed and used predominantly within Europe.</w:t>
      </w:r>
    </w:p>
    <w:p>
      <w:pPr>
        <w:numPr>
          <w:ilvl w:val="0"/>
          <w:numId w:val="1001"/>
        </w:numPr>
        <w:pStyle w:val="Compact"/>
      </w:pPr>
      <w:r>
        <w:rPr>
          <w:bCs/>
          <w:b/>
        </w:rPr>
        <w:t xml:space="preserve">Allocation:</w:t>
      </w:r>
      <w:r>
        <w:t xml:space="preserve"> </w:t>
      </w:r>
      <w:r>
        <w:t xml:space="preserve">Emissions are allocated directly to the functional unit based on mass and energy consumption for material production, manufacturing, and transport. For multi-functional processes, mass allocation is applied where appropriate.</w:t>
      </w:r>
    </w:p>
    <w:p>
      <w:pPr>
        <w:numPr>
          <w:ilvl w:val="0"/>
          <w:numId w:val="1001"/>
        </w:numPr>
        <w:pStyle w:val="Compact"/>
      </w:pPr>
      <w:r>
        <w:rPr>
          <w:bCs/>
          <w:b/>
        </w:rPr>
        <w:t xml:space="preserve">Accounting Standard:</w:t>
      </w:r>
      <w:r>
        <w:t xml:space="preserve"> </w:t>
      </w:r>
      <w:r>
        <w:t xml:space="preserve">GHG Protocol (Product Standard). This report explicitly adheres to the GHG Protocol\'s methodologies for categorizing and quantifying greenhouse gas emissions.</w:t>
      </w:r>
    </w:p>
    <w:p>
      <w:pPr>
        <w:numPr>
          <w:ilvl w:val="0"/>
          <w:numId w:val="1001"/>
        </w:numPr>
        <w:pStyle w:val="Compact"/>
      </w:pPr>
      <w:r>
        <w:rPr>
          <w:bCs/>
          <w:b/>
        </w:rPr>
        <w:t xml:space="preserve">Company Name:</w:t>
      </w:r>
      <w:r>
        <w:t xml:space="preserve"> </w:t>
      </w:r>
      <w:r>
        <w:t xml:space="preserve">qeonfuovqy</w:t>
      </w:r>
    </w:p>
    <w:p>
      <w:pPr>
        <w:numPr>
          <w:ilvl w:val="0"/>
          <w:numId w:val="1001"/>
        </w:numPr>
        <w:pStyle w:val="Compact"/>
      </w:pPr>
      <w:r>
        <w:rPr>
          <w:bCs/>
          <w:b/>
        </w:rPr>
        <w:t xml:space="preserve">Senior Sustainability Consultant:</w:t>
      </w:r>
      <w:r>
        <w:t xml:space="preserve"> </w:t>
      </w:r>
      <w:r>
        <w:t xml:space="preserve">ihieuijqik</w:t>
      </w:r>
    </w:p>
    <w:p>
      <w:r>
        <w:pict>
          <v:rect style="width:0;height:1.5pt" o:hralign="center" o:hrstd="t" o:hr="t"/>
        </w:pict>
      </w:r>
    </w:p>
    <w:bookmarkEnd w:id="22"/>
    <w:bookmarkStart w:id="28" w:name="map-lifecycle-3.-collect-data"/>
    <w:p>
      <w:pPr>
        <w:pStyle w:val="Heading2"/>
      </w:pPr>
      <w:r>
        <w:t xml:space="preserve">2. Map Lifecycle &amp; 3. Collect Data</w:t>
      </w:r>
    </w:p>
    <w:p>
      <w:pPr>
        <w:pStyle w:val="FirstParagraph"/>
      </w:pPr>
      <w:r>
        <w:t xml:space="preserve">The lifecycle of mtjrjrvxls has been mapped from material acquisition through manufacturing, distribution, use, and end-of-life. Data collection prioritized specific company parameters and, where unavailable, utilized industry-standard emission factors from reputable databases (e.g., Ecoinvent, DEFRA) as illustrative proxies.</w:t>
      </w:r>
    </w:p>
    <w:bookmarkStart w:id="23" w:name="Xea71bb0fb06ce6eccf5e8a8d3eeb43a59a18cb6"/>
    <w:p>
      <w:pPr>
        <w:pStyle w:val="Heading3"/>
      </w:pPr>
      <w:r>
        <w:t xml:space="preserve">Detailed Bill of Materials (BOM) - jshmnfin (Illustrative Data)</w:t>
      </w:r>
    </w:p>
    <w:p>
      <w:pPr>
        <w:pStyle w:val="FirstParagraph"/>
      </w:pPr>
      <w:r>
        <w:t xml:space="preserve">The following table details the materials and their associated carbon emissions for one functional unit of mtjrjrvxls, based on the provided "jshmnfin" format. The "Total Carbon" represents the cradle-to-gate emissions for each material.</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M001</w:t>
            </w:r>
          </w:p>
        </w:tc>
        <w:tc>
          <w:tcPr/>
          <w:p>
            <w:pPr>
              <w:pStyle w:val="Compact"/>
              <w:jc w:val="left"/>
            </w:pPr>
            <w:r>
              <w:t xml:space="preserve">ABS 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2.5</w:t>
            </w:r>
          </w:p>
        </w:tc>
        <w:tc>
          <w:tcPr/>
          <w:p>
            <w:pPr>
              <w:pStyle w:val="Compact"/>
              <w:jc w:val="left"/>
            </w:pPr>
            <w:r>
              <w:t xml:space="preserve">0.500</w:t>
            </w:r>
          </w:p>
        </w:tc>
      </w:tr>
      <w:tr>
        <w:tc>
          <w:tcPr/>
          <w:p>
            <w:pPr>
              <w:pStyle w:val="Compact"/>
              <w:jc w:val="left"/>
            </w:pPr>
            <w:r>
              <w:t xml:space="preserve">E001</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0.05</w:t>
            </w:r>
          </w:p>
        </w:tc>
        <w:tc>
          <w:tcPr/>
          <w:p>
            <w:pPr>
              <w:pStyle w:val="Compact"/>
              <w:jc w:val="left"/>
            </w:pPr>
            <w:r>
              <w:t xml:space="preserve">kg</w:t>
            </w:r>
          </w:p>
        </w:tc>
        <w:tc>
          <w:tcPr/>
          <w:p>
            <w:pPr>
              <w:pStyle w:val="Compact"/>
              <w:jc w:val="left"/>
            </w:pPr>
            <w:r>
              <w:t xml:space="preserve">15.0</w:t>
            </w:r>
          </w:p>
        </w:tc>
        <w:tc>
          <w:tcPr/>
          <w:p>
            <w:pPr>
              <w:pStyle w:val="Compact"/>
              <w:jc w:val="left"/>
            </w:pPr>
            <w:r>
              <w:t xml:space="preserve">0.750</w:t>
            </w:r>
          </w:p>
        </w:tc>
      </w:tr>
      <w:tr>
        <w:tc>
          <w:tcPr/>
          <w:p>
            <w:pPr>
              <w:pStyle w:val="Compact"/>
              <w:jc w:val="left"/>
            </w:pPr>
            <w:r>
              <w:t xml:space="preserve">M002</w:t>
            </w:r>
          </w:p>
        </w:tc>
        <w:tc>
          <w:tcPr/>
          <w:p>
            <w:pPr>
              <w:pStyle w:val="Compact"/>
              <w:jc w:val="left"/>
            </w:pPr>
            <w:r>
              <w:t xml:space="preserve">Copper Wire</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0.01</w:t>
            </w:r>
          </w:p>
        </w:tc>
        <w:tc>
          <w:tcPr/>
          <w:p>
            <w:pPr>
              <w:pStyle w:val="Compact"/>
              <w:jc w:val="left"/>
            </w:pPr>
            <w:r>
              <w:t xml:space="preserve">kg</w:t>
            </w:r>
          </w:p>
        </w:tc>
        <w:tc>
          <w:tcPr/>
          <w:p>
            <w:pPr>
              <w:pStyle w:val="Compact"/>
              <w:jc w:val="left"/>
            </w:pPr>
            <w:r>
              <w:t xml:space="preserve">3.8</w:t>
            </w:r>
          </w:p>
        </w:tc>
        <w:tc>
          <w:tcPr/>
          <w:p>
            <w:pPr>
              <w:pStyle w:val="Compact"/>
              <w:jc w:val="left"/>
            </w:pPr>
            <w:r>
              <w:t xml:space="preserve">0.038</w:t>
            </w:r>
          </w:p>
        </w:tc>
      </w:tr>
      <w:tr>
        <w:tc>
          <w:tcPr/>
          <w:p>
            <w:pPr>
              <w:pStyle w:val="Compact"/>
              <w:jc w:val="left"/>
            </w:pPr>
            <w:r>
              <w:t xml:space="preserve">P001</w:t>
            </w:r>
          </w:p>
        </w:tc>
        <w:tc>
          <w:tcPr/>
          <w:p>
            <w:pPr>
              <w:pStyle w:val="Compact"/>
              <w:jc w:val="left"/>
            </w:pPr>
            <w:r>
              <w:t xml:space="preserve">Lithium-ion Battery</w:t>
            </w:r>
          </w:p>
        </w:tc>
        <w:tc>
          <w:tcPr/>
          <w:p>
            <w:pPr>
              <w:pStyle w:val="Compact"/>
              <w:jc w:val="left"/>
            </w:pPr>
            <w:r>
              <w:t xml:space="preserve">Energy Storage</w:t>
            </w:r>
          </w:p>
        </w:tc>
        <w:tc>
          <w:tcPr/>
          <w:p>
            <w:pPr>
              <w:pStyle w:val="Compact"/>
              <w:jc w:val="left"/>
            </w:pPr>
            <w:r>
              <w:t xml:space="preserve">Cell Manufacturing</w:t>
            </w:r>
          </w:p>
        </w:tc>
        <w:tc>
          <w:tcPr/>
          <w:p>
            <w:pPr>
              <w:pStyle w:val="Compact"/>
              <w:jc w:val="left"/>
            </w:pPr>
            <w:r>
              <w:t xml:space="preserve">0.03</w:t>
            </w:r>
          </w:p>
        </w:tc>
        <w:tc>
          <w:tcPr/>
          <w:p>
            <w:pPr>
              <w:pStyle w:val="Compact"/>
              <w:jc w:val="left"/>
            </w:pPr>
            <w:r>
              <w:t xml:space="preserve">kg</w:t>
            </w:r>
          </w:p>
        </w:tc>
        <w:tc>
          <w:tcPr/>
          <w:p>
            <w:pPr>
              <w:pStyle w:val="Compact"/>
              <w:jc w:val="left"/>
            </w:pPr>
            <w:r>
              <w:t xml:space="preserve">10.0</w:t>
            </w:r>
          </w:p>
        </w:tc>
        <w:tc>
          <w:tcPr/>
          <w:p>
            <w:pPr>
              <w:pStyle w:val="Compact"/>
              <w:jc w:val="left"/>
            </w:pPr>
            <w:r>
              <w:t xml:space="preserve">0.300</w:t>
            </w:r>
          </w:p>
        </w:tc>
      </w:tr>
      <w:tr>
        <w:tc>
          <w:tcPr/>
          <w:p>
            <w:pPr>
              <w:pStyle w:val="Compact"/>
              <w:jc w:val="left"/>
            </w:pPr>
            <w:r>
              <w:t xml:space="preserve">P002</w:t>
            </w:r>
          </w:p>
        </w:tc>
        <w:tc>
          <w:tcPr/>
          <w:p>
            <w:pPr>
              <w:pStyle w:val="Compact"/>
              <w:jc w:val="left"/>
            </w:pPr>
            <w:r>
              <w:t xml:space="preserve">Packaging (Cardboard)</w:t>
            </w:r>
          </w:p>
        </w:tc>
        <w:tc>
          <w:tcPr/>
          <w:p>
            <w:pPr>
              <w:pStyle w:val="Compact"/>
              <w:jc w:val="left"/>
            </w:pPr>
            <w:r>
              <w:t xml:space="preserve">Paper/Packaging</w:t>
            </w:r>
          </w:p>
        </w:tc>
        <w:tc>
          <w:tcPr/>
          <w:p>
            <w:pPr>
              <w:pStyle w:val="Compact"/>
              <w:jc w:val="left"/>
            </w:pPr>
            <w:r>
              <w:t xml:space="preserve">Production</w:t>
            </w:r>
          </w:p>
        </w:tc>
        <w:tc>
          <w:tcPr/>
          <w:p>
            <w:pPr>
              <w:pStyle w:val="Compact"/>
              <w:jc w:val="left"/>
            </w:pPr>
            <w:r>
              <w:t xml:space="preserve">0.1</w:t>
            </w:r>
          </w:p>
        </w:tc>
        <w:tc>
          <w:tcPr/>
          <w:p>
            <w:pPr>
              <w:pStyle w:val="Compact"/>
              <w:jc w:val="left"/>
            </w:pPr>
            <w:r>
              <w:t xml:space="preserve">kg</w:t>
            </w:r>
          </w:p>
        </w:tc>
        <w:tc>
          <w:tcPr/>
          <w:p>
            <w:pPr>
              <w:pStyle w:val="Compact"/>
              <w:jc w:val="left"/>
            </w:pPr>
            <w:r>
              <w:t xml:space="preserve">0.8</w:t>
            </w:r>
          </w:p>
        </w:tc>
        <w:tc>
          <w:tcPr/>
          <w:p>
            <w:pPr>
              <w:pStyle w:val="Compact"/>
              <w:jc w:val="left"/>
            </w:pPr>
            <w:r>
              <w:t xml:space="preserve">0.080</w:t>
            </w:r>
          </w:p>
        </w:tc>
      </w:tr>
      <w:tr>
        <w:tc>
          <w:tcPr>
            <w:gridSpan w:val="7"/>
          </w:tcPr>
          <w:p>
            <w:pPr>
              <w:pStyle w:val="Compact"/>
              <w:jc w:val="right"/>
            </w:pPr>
            <w:r>
              <w:t xml:space="preserve">Total Material Carbon (kgCO2e):</w:t>
            </w:r>
          </w:p>
        </w:tc>
        <w:tc>
          <w:tcPr/>
          <w:p>
            <w:pPr>
              <w:pStyle w:val="Compact"/>
              <w:jc w:val="left"/>
            </w:pPr>
            <w:r>
              <w:t xml:space="preserve">1.668</w:t>
            </w:r>
          </w:p>
        </w:tc>
      </w:tr>
    </w:tbl>
    <w:bookmarkEnd w:id="23"/>
    <w:bookmarkStart w:id="24" w:name="energy-inputs-production-phase"/>
    <w:p>
      <w:pPr>
        <w:pStyle w:val="Heading3"/>
      </w:pPr>
      <w:r>
        <w:t xml:space="preserve">Energy Inputs (Production Phase)</w:t>
      </w:r>
    </w:p>
    <w:p>
      <w:pPr>
        <w:numPr>
          <w:ilvl w:val="0"/>
          <w:numId w:val="1002"/>
        </w:numPr>
        <w:pStyle w:val="Compact"/>
      </w:pPr>
      <w:r>
        <w:rPr>
          <w:bCs/>
          <w:b/>
        </w:rPr>
        <w:t xml:space="preserve">Energy Intensity (kWh/unit):</w:t>
      </w:r>
      <w:r>
        <w:t xml:space="preserve"> </w:t>
      </w:r>
      <w:r>
        <w:t xml:space="preserve">zkfiumfxrf (5 kWh/unit)</w:t>
      </w:r>
    </w:p>
    <w:p>
      <w:pPr>
        <w:numPr>
          <w:ilvl w:val="0"/>
          <w:numId w:val="1002"/>
        </w:numPr>
        <w:pStyle w:val="Compact"/>
      </w:pPr>
      <w:r>
        <w:rPr>
          <w:bCs/>
          <w:b/>
        </w:rPr>
        <w:t xml:space="preserve">Renewable Energy Usage:</w:t>
      </w:r>
      <w:r>
        <w:t xml:space="preserve"> </w:t>
      </w:r>
      <w:r>
        <w:t xml:space="preserve">sugzsnhjsw (70%)</w:t>
      </w:r>
    </w:p>
    <w:p>
      <w:pPr>
        <w:numPr>
          <w:ilvl w:val="0"/>
          <w:numId w:val="1002"/>
        </w:numPr>
        <w:pStyle w:val="Compact"/>
      </w:pPr>
      <w:r>
        <w:rPr>
          <w:bCs/>
          <w:b/>
        </w:rPr>
        <w:t xml:space="preserve">Non-renewable Energy Usage:</w:t>
      </w:r>
      <w:r>
        <w:t xml:space="preserve"> </w:t>
      </w:r>
      <w:r>
        <w:t xml:space="preserve">30%</w:t>
      </w:r>
    </w:p>
    <w:p>
      <w:pPr>
        <w:numPr>
          <w:ilvl w:val="0"/>
          <w:numId w:val="1002"/>
        </w:numPr>
        <w:pStyle w:val="Compact"/>
      </w:pPr>
      <w:r>
        <w:rPr>
          <w:bCs/>
          <w:b/>
        </w:rPr>
        <w:t xml:space="preserve">Electricity Grid Emission Factor (China, 2023):</w:t>
      </w:r>
      <w:r>
        <w:t xml:space="preserve"> </w:t>
      </w:r>
      <w:r>
        <w:t xml:space="preserve">0.6205 kgCO2e/kWh</w:t>
      </w:r>
    </w:p>
    <w:bookmarkEnd w:id="24"/>
    <w:bookmarkStart w:id="25" w:name="logistics-data"/>
    <w:p>
      <w:pPr>
        <w:pStyle w:val="Heading3"/>
      </w:pPr>
      <w:r>
        <w:t xml:space="preserve">Logistics Data</w:t>
      </w:r>
    </w:p>
    <w:p>
      <w:pPr>
        <w:numPr>
          <w:ilvl w:val="0"/>
          <w:numId w:val="1003"/>
        </w:numPr>
        <w:pStyle w:val="Compact"/>
      </w:pPr>
      <w:r>
        <w:rPr>
          <w:bCs/>
          <w:b/>
        </w:rPr>
        <w:t xml:space="preserve">Product Weight (total from BOM):</w:t>
      </w:r>
      <w:r>
        <w:t xml:space="preserve"> </w:t>
      </w:r>
      <w:r>
        <w:t xml:space="preserve">0.39 kg</w:t>
      </w:r>
    </w:p>
    <w:p>
      <w:pPr>
        <w:numPr>
          <w:ilvl w:val="0"/>
          <w:numId w:val="1003"/>
        </w:numPr>
        <w:pStyle w:val="Compact"/>
      </w:pPr>
      <w:r>
        <w:rPr>
          <w:bCs/>
          <w:b/>
        </w:rPr>
        <w:t xml:space="preserve">Inbound Material Transport (to factory in China):</w:t>
      </w:r>
      <w:r>
        <w:t xml:space="preserve"> </w:t>
      </w:r>
      <w:r>
        <w:t xml:space="preserve">Assumed 500 km by Road Freight (Lorry, &gt;20t, Euro VI). Illustrative Emission Factor: 0.07 kgCO2e/tkm.</w:t>
      </w:r>
    </w:p>
    <w:p>
      <w:pPr>
        <w:numPr>
          <w:ilvl w:val="0"/>
          <w:numId w:val="1003"/>
        </w:numPr>
        <w:pStyle w:val="Compact"/>
      </w:pPr>
      <w:r>
        <w:rPr>
          <w:bCs/>
          <w:b/>
        </w:rPr>
        <w:t xml:space="preserve">Primary Outbound Transport (from factory to European distribution hub):</w:t>
      </w:r>
      <w:r>
        <w:t xml:space="preserve"> </w:t>
      </w:r>
      <w:r>
        <w:t xml:space="preserve">smjdizfxos (1000 km) by Select Mode (Assumed Road Freight - Lorry, &gt;20t, Euro VI). Illustrative Emission Factor: 0.07 kgCO2e/tkm.</w:t>
      </w:r>
    </w:p>
    <w:p>
      <w:pPr>
        <w:numPr>
          <w:ilvl w:val="0"/>
          <w:numId w:val="1003"/>
        </w:numPr>
        <w:pStyle w:val="Compact"/>
      </w:pPr>
      <w:r>
        <w:rPr>
          <w:bCs/>
          <w:b/>
        </w:rPr>
        <w:t xml:space="preserve">Last-Mile Delivery Channel:</w:t>
      </w:r>
      <w:r>
        <w:t xml:space="preserve"> </w:t>
      </w:r>
      <w:r>
        <w:t xml:space="preserve">Delivery Type (Assumed Small Van - Diesel). Assumed 50 km distance. Illustrative Emission Factor: 0.15 kgCO2e/tkm.</w:t>
      </w:r>
    </w:p>
    <w:bookmarkEnd w:id="25"/>
    <w:bookmarkStart w:id="26" w:name="use-phase-data"/>
    <w:p>
      <w:pPr>
        <w:pStyle w:val="Heading3"/>
      </w:pPr>
      <w:r>
        <w:t xml:space="preserve">Use Phase Data</w:t>
      </w:r>
    </w:p>
    <w:p>
      <w:pPr>
        <w:numPr>
          <w:ilvl w:val="0"/>
          <w:numId w:val="1004"/>
        </w:numPr>
        <w:pStyle w:val="Compact"/>
      </w:pPr>
      <w:r>
        <w:rPr>
          <w:bCs/>
          <w:b/>
        </w:rPr>
        <w:t xml:space="preserve">Product Lifespan:</w:t>
      </w:r>
      <w:r>
        <w:t xml:space="preserve"> </w:t>
      </w:r>
      <w:r>
        <w:t xml:space="preserve">xlxzlegnet (5 years)</w:t>
      </w:r>
    </w:p>
    <w:p>
      <w:pPr>
        <w:numPr>
          <w:ilvl w:val="0"/>
          <w:numId w:val="1004"/>
        </w:numPr>
        <w:pStyle w:val="Compact"/>
      </w:pPr>
      <w:r>
        <w:rPr>
          <w:bCs/>
          <w:b/>
        </w:rPr>
        <w:t xml:space="preserve">Energy Consumption in Use:</w:t>
      </w:r>
      <w:r>
        <w:t xml:space="preserve"> </w:t>
      </w:r>
      <w:r>
        <w:t xml:space="preserve">dpzeqskjhn (10 kWh/year)</w:t>
      </w:r>
    </w:p>
    <w:p>
      <w:pPr>
        <w:numPr>
          <w:ilvl w:val="0"/>
          <w:numId w:val="1004"/>
        </w:numPr>
        <w:pStyle w:val="Compact"/>
      </w:pPr>
      <w:r>
        <w:rPr>
          <w:bCs/>
          <w:b/>
        </w:rPr>
        <w:t xml:space="preserve">Total Energy Consumption over Lifespan:</w:t>
      </w:r>
      <w:r>
        <w:t xml:space="preserve"> </w:t>
      </w:r>
      <w:r>
        <w:t xml:space="preserve">50 kWh</w:t>
      </w:r>
    </w:p>
    <w:p>
      <w:pPr>
        <w:numPr>
          <w:ilvl w:val="0"/>
          <w:numId w:val="1004"/>
        </w:numPr>
        <w:pStyle w:val="Compact"/>
      </w:pPr>
      <w:r>
        <w:rPr>
          <w:bCs/>
          <w:b/>
        </w:rPr>
        <w:t xml:space="preserve">Electricity Grid Emission Factor (Europe, 2024 average):</w:t>
      </w:r>
      <w:r>
        <w:t xml:space="preserve"> </w:t>
      </w:r>
      <w:r>
        <w:t xml:space="preserve">0.181 kgCO2e/kWh</w:t>
      </w:r>
    </w:p>
    <w:bookmarkEnd w:id="26"/>
    <w:bookmarkStart w:id="27" w:name="end-of-life-eol-scenarios"/>
    <w:p>
      <w:pPr>
        <w:pStyle w:val="Heading3"/>
      </w:pPr>
      <w:r>
        <w:t xml:space="preserve">End-of-Life (EoL) Scenarios</w:t>
      </w:r>
    </w:p>
    <w:p>
      <w:pPr>
        <w:numPr>
          <w:ilvl w:val="0"/>
          <w:numId w:val="1005"/>
        </w:numPr>
        <w:pStyle w:val="Compact"/>
      </w:pPr>
      <w:r>
        <w:rPr>
          <w:bCs/>
          <w:b/>
        </w:rPr>
        <w:t xml:space="preserve">Recyclability Percentage:</w:t>
      </w:r>
      <w:r>
        <w:t xml:space="preserve"> </w:t>
      </w:r>
      <w:r>
        <w:t xml:space="preserve">xtxsmzxgue (80%)</w:t>
      </w:r>
    </w:p>
    <w:p>
      <w:pPr>
        <w:numPr>
          <w:ilvl w:val="0"/>
          <w:numId w:val="1005"/>
        </w:numPr>
        <w:pStyle w:val="Compact"/>
      </w:pPr>
      <w:r>
        <w:rPr>
          <w:bCs/>
          <w:b/>
        </w:rPr>
        <w:t xml:space="preserve">Circular/Take-back Programs:</w:t>
      </w:r>
      <w:r>
        <w:t xml:space="preserve"> </w:t>
      </w:r>
      <w:r>
        <w:t xml:space="preserve">yuuuymhouo (Yes, active take-back program)</w:t>
      </w:r>
    </w:p>
    <w:p>
      <w:pPr>
        <w:numPr>
          <w:ilvl w:val="0"/>
          <w:numId w:val="1005"/>
        </w:numPr>
        <w:pStyle w:val="Compact"/>
      </w:pPr>
      <w:r>
        <w:rPr>
          <w:bCs/>
          <w:b/>
        </w:rPr>
        <w:t xml:space="preserve">Disposed Portion:</w:t>
      </w:r>
      <w:r>
        <w:t xml:space="preserve"> </w:t>
      </w:r>
      <w:r>
        <w:t xml:space="preserve">20%</w:t>
      </w:r>
    </w:p>
    <w:p>
      <w:pPr>
        <w:numPr>
          <w:ilvl w:val="0"/>
          <w:numId w:val="1005"/>
        </w:numPr>
        <w:pStyle w:val="Compact"/>
      </w:pPr>
      <w:r>
        <w:rPr>
          <w:bCs/>
          <w:b/>
        </w:rPr>
        <w:t xml:space="preserve">Illustrative Disposal Emission Factor (blended landfill/incineration):</w:t>
      </w:r>
      <w:r>
        <w:t xml:space="preserve"> </w:t>
      </w:r>
      <w:r>
        <w:t xml:space="preserve">1.0 kgCO2e/kg.</w:t>
      </w:r>
    </w:p>
    <w:p>
      <w:pPr>
        <w:numPr>
          <w:ilvl w:val="0"/>
          <w:numId w:val="1005"/>
        </w:numPr>
        <w:pStyle w:val="Compact"/>
      </w:pPr>
      <w:r>
        <w:rPr>
          <w:bCs/>
          <w:b/>
        </w:rPr>
        <w:t xml:space="preserve">Recycling Credit:</w:t>
      </w:r>
      <w:r>
        <w:t xml:space="preserve"> </w:t>
      </w:r>
      <w:r>
        <w:t xml:space="preserve">Assumed 75% emissions saving for the recycled portion compared to virgin material production.</w:t>
      </w:r>
    </w:p>
    <w:p>
      <w:r>
        <w:pict>
          <v:rect style="width:0;height:1.5pt" o:hralign="center" o:hrstd="t" o:hr="t"/>
        </w:pict>
      </w:r>
    </w:p>
    <w:bookmarkEnd w:id="27"/>
    <w:bookmarkEnd w:id="28"/>
    <w:bookmarkStart w:id="38" w:name="Xb404f6bea4a0013006ec7a9103609d9ea6643c1"/>
    <w:p>
      <w:pPr>
        <w:pStyle w:val="Heading2"/>
      </w:pPr>
      <w:r>
        <w:t xml:space="preserve">4. Calculate Emissions (Activity * Emission Factor = CO2e)</w:t>
      </w:r>
    </w:p>
    <w:p>
      <w:pPr>
        <w:pStyle w:val="FirstParagraph"/>
      </w:pPr>
      <w:r>
        <w:t xml:space="preserve">Emissions are categorized according to the GHG Protocol\'s Scope 1, 2, and 3 classifications.</w:t>
      </w:r>
    </w:p>
    <w:bookmarkStart w:id="29" w:name="scope-1-direct-emissions-0.00-kgco2e"/>
    <w:p>
      <w:pPr>
        <w:pStyle w:val="Heading3"/>
      </w:pPr>
      <w:r>
        <w:t xml:space="preserve">Scope 1: Direct Emissions (0.00 kgCO2e)</w:t>
      </w:r>
    </w:p>
    <w:p>
      <w:pPr>
        <w:pStyle w:val="FirstParagraph"/>
      </w:pPr>
      <w:r>
        <w:t xml:space="preserve">No direct on-site combustion emissions or other Scope 1 sources were identified from the provided parameters. Therefore, Scope 1 emissions for this product PCF are considered negligible in this assessment.</w:t>
      </w:r>
    </w:p>
    <w:bookmarkEnd w:id="29"/>
    <w:bookmarkStart w:id="30" w:name="X1b226a33275d6813ba33cb83864a43a486ea58c"/>
    <w:p>
      <w:pPr>
        <w:pStyle w:val="Heading3"/>
      </w:pPr>
      <w:r>
        <w:t xml:space="preserve">Scope 2: Purchased Electricity (0.93 kgCO2e)</w:t>
      </w:r>
    </w:p>
    <w:p>
      <w:pPr>
        <w:pStyle w:val="FirstParagraph"/>
      </w:pPr>
      <w:r>
        <w:t xml:space="preserve">These are indirect emissions from the generation of purchased electricity consumed by qeonfuovqy for the manufacturing of mtjrjrvxls.</w:t>
      </w:r>
    </w:p>
    <w:p>
      <w:pPr>
        <w:numPr>
          <w:ilvl w:val="0"/>
          <w:numId w:val="1006"/>
        </w:numPr>
        <w:pStyle w:val="Compact"/>
      </w:pPr>
      <w:r>
        <w:t xml:space="preserve">Total Energy Intensity: 5 kWh/unit [cite: zkfiumfxrf]</w:t>
      </w:r>
    </w:p>
    <w:p>
      <w:pPr>
        <w:numPr>
          <w:ilvl w:val="0"/>
          <w:numId w:val="1006"/>
        </w:numPr>
        <w:pStyle w:val="Compact"/>
      </w:pPr>
      <w:r>
        <w:t xml:space="preserve">Renewable Energy Usage: 70% [cite: sugzsnhjsw]</w:t>
      </w:r>
    </w:p>
    <w:p>
      <w:pPr>
        <w:numPr>
          <w:ilvl w:val="0"/>
          <w:numId w:val="1006"/>
        </w:numPr>
        <w:pStyle w:val="Compact"/>
      </w:pPr>
      <w:r>
        <w:t xml:space="preserve">Non-renewable Electricity (30%): 5 kWh/unit * 0.30 = 1.5 kWh/unit</w:t>
      </w:r>
    </w:p>
    <w:p>
      <w:pPr>
        <w:numPr>
          <w:ilvl w:val="0"/>
          <w:numId w:val="1006"/>
        </w:numPr>
        <w:pStyle w:val="Compact"/>
      </w:pPr>
      <w:r>
        <w:t xml:space="preserve">Chinese Grid Emission Factor (2023): 0.6205 kgCO2e/kWh</w:t>
      </w:r>
    </w:p>
    <w:p>
      <w:pPr>
        <w:numPr>
          <w:ilvl w:val="0"/>
          <w:numId w:val="1006"/>
        </w:numPr>
        <w:pStyle w:val="Compact"/>
      </w:pPr>
      <w:r>
        <w:rPr>
          <w:bCs/>
          <w:b/>
        </w:rPr>
        <w:t xml:space="preserve">Scope 2 Emissions:</w:t>
      </w:r>
      <w:r>
        <w:t xml:space="preserve"> </w:t>
      </w:r>
      <w:r>
        <w:t xml:space="preserve">1.5 kWh/unit * 0.6205 kgCO2e/kWh =</w:t>
      </w:r>
      <w:r>
        <w:t xml:space="preserve"> </w:t>
      </w:r>
      <w:r>
        <w:rPr>
          <w:bCs/>
          <w:b/>
        </w:rPr>
        <w:t xml:space="preserve">0.93 kgCO2e</w:t>
      </w:r>
    </w:p>
    <w:bookmarkEnd w:id="30"/>
    <w:bookmarkStart w:id="36" w:name="scope-3-value-chain-emissions"/>
    <w:p>
      <w:pPr>
        <w:pStyle w:val="Heading3"/>
      </w:pPr>
      <w:r>
        <w:t xml:space="preserve">Scope 3: Value Chain Emissions</w:t>
      </w:r>
    </w:p>
    <w:p>
      <w:pPr>
        <w:pStyle w:val="FirstParagraph"/>
      </w:pPr>
      <w:r>
        <w:t xml:space="preserve">Scope 3 emissions represent the most significant portion of the product\'s carbon footprint, covering both upstream and (as extended for this report) downstream activities.</w:t>
      </w:r>
    </w:p>
    <w:bookmarkStart w:id="31" w:name="Xb3025cd6135b6694fc8e7afee62ac33ee973231"/>
    <w:p>
      <w:pPr>
        <w:pStyle w:val="Heading4"/>
      </w:pPr>
      <w:r>
        <w:t xml:space="preserve">Category 1: Purchased Goods and Services (1.67 kgCO2e)</w:t>
      </w:r>
    </w:p>
    <w:p>
      <w:pPr>
        <w:pStyle w:val="FirstParagraph"/>
      </w:pPr>
      <w:r>
        <w:t xml:space="preserve">Emissions associated with the extraction, production, and processing of all raw materials and components detailed in the Bill of Materials.</w:t>
      </w:r>
    </w:p>
    <w:p>
      <w:pPr>
        <w:numPr>
          <w:ilvl w:val="0"/>
          <w:numId w:val="1007"/>
        </w:numPr>
        <w:pStyle w:val="Compact"/>
      </w:pPr>
      <w:r>
        <w:t xml:space="preserve">Total Material Carbon (from BOM table):</w:t>
      </w:r>
      <w:r>
        <w:t xml:space="preserve"> </w:t>
      </w:r>
      <w:r>
        <w:rPr>
          <w:bCs/>
          <w:b/>
        </w:rPr>
        <w:t xml:space="preserve">1.668 kgCO2e</w:t>
      </w:r>
    </w:p>
    <w:p>
      <w:pPr>
        <w:numPr>
          <w:ilvl w:val="0"/>
          <w:numId w:val="1007"/>
        </w:numPr>
        <w:pStyle w:val="Compact"/>
      </w:pPr>
      <w:r>
        <w:t xml:space="preserve">This represents the sum of pre-calculated cradle-to-gate emissions for each BOM item.</w:t>
      </w:r>
    </w:p>
    <w:bookmarkEnd w:id="31"/>
    <w:bookmarkStart w:id="32" w:name="X69f0383524164f2c246af592a97a2f78d4ddfe1"/>
    <w:p>
      <w:pPr>
        <w:pStyle w:val="Heading4"/>
      </w:pPr>
      <w:r>
        <w:t xml:space="preserve">Category 4: Upstream Transportation and Distribution (0.01 kgCO2e)</w:t>
      </w:r>
    </w:p>
    <w:p>
      <w:pPr>
        <w:pStyle w:val="FirstParagraph"/>
      </w:pPr>
      <w:r>
        <w:t xml:space="preserve">Emissions from transporting raw materials and components from suppliers to the manufacturing facility in China.</w:t>
      </w:r>
    </w:p>
    <w:p>
      <w:pPr>
        <w:numPr>
          <w:ilvl w:val="0"/>
          <w:numId w:val="1008"/>
        </w:numPr>
        <w:pStyle w:val="Compact"/>
      </w:pPr>
      <w:r>
        <w:t xml:space="preserve">Product Weight (total BOM): 0.39 kg</w:t>
      </w:r>
    </w:p>
    <w:p>
      <w:pPr>
        <w:numPr>
          <w:ilvl w:val="0"/>
          <w:numId w:val="1008"/>
        </w:numPr>
        <w:pStyle w:val="Compact"/>
      </w:pPr>
      <w:r>
        <w:t xml:space="preserve">Assumed Inbound Transport Distance: 500 km</w:t>
      </w:r>
    </w:p>
    <w:p>
      <w:pPr>
        <w:numPr>
          <w:ilvl w:val="0"/>
          <w:numId w:val="1008"/>
        </w:numPr>
        <w:pStyle w:val="Compact"/>
      </w:pPr>
      <w:r>
        <w:t xml:space="preserve">Transport Mode: Road Freight (Lorry, &gt;20t, Euro VI)</w:t>
      </w:r>
    </w:p>
    <w:p>
      <w:pPr>
        <w:numPr>
          <w:ilvl w:val="0"/>
          <w:numId w:val="1008"/>
        </w:numPr>
        <w:pStyle w:val="Compact"/>
      </w:pPr>
      <w:r>
        <w:t xml:space="preserve">Illustrative Emission Factor: 0.07 kgCO2e/tkm</w:t>
      </w:r>
    </w:p>
    <w:p>
      <w:pPr>
        <w:numPr>
          <w:ilvl w:val="0"/>
          <w:numId w:val="1008"/>
        </w:numPr>
        <w:pStyle w:val="Compact"/>
      </w:pPr>
      <w:r>
        <w:rPr>
          <w:bCs/>
          <w:b/>
        </w:rPr>
        <w:t xml:space="preserve">Scope 3, Cat 4 Emissions:</w:t>
      </w:r>
      <w:r>
        <w:t xml:space="preserve"> </w:t>
      </w:r>
      <w:r>
        <w:t xml:space="preserve">(0.39 kg / 1000 kg/tonne) * 500 km * 0.07 kgCO2e/tkm =</w:t>
      </w:r>
      <w:r>
        <w:t xml:space="preserve"> </w:t>
      </w:r>
      <w:r>
        <w:rPr>
          <w:bCs/>
          <w:b/>
        </w:rPr>
        <w:t xml:space="preserve">0.01 kgCO2e</w:t>
      </w:r>
    </w:p>
    <w:bookmarkEnd w:id="32"/>
    <w:bookmarkStart w:id="33" w:name="X03363595575c64d42395aa66dd1ce2dcb8dbc32"/>
    <w:p>
      <w:pPr>
        <w:pStyle w:val="Heading4"/>
      </w:pPr>
      <w:r>
        <w:t xml:space="preserve">Category 9: Downstream Transportation and Distribution (0.03 kgCO2e)</w:t>
      </w:r>
    </w:p>
    <w:p>
      <w:pPr>
        <w:pStyle w:val="FirstParagraph"/>
      </w:pPr>
      <w:r>
        <w:t xml:space="preserve">Emissions from transporting the finished product from the factory gate to the end-consumer, including primary transport to Europe and last-mile delivery.</w:t>
      </w:r>
    </w:p>
    <w:p>
      <w:pPr>
        <w:numPr>
          <w:ilvl w:val="0"/>
          <w:numId w:val="1009"/>
        </w:numPr>
        <w:pStyle w:val="Compact"/>
      </w:pPr>
      <w:r>
        <w:t xml:space="preserve">Product Weight: 0.39 kg</w:t>
      </w:r>
    </w:p>
    <w:p>
      <w:pPr>
        <w:numPr>
          <w:ilvl w:val="0"/>
          <w:numId w:val="1009"/>
        </w:numPr>
        <w:pStyle w:val="Compact"/>
      </w:pPr>
      <w:r>
        <w:t xml:space="preserve">Primary Outbound Transport (Europe Focused, e.g., China to Europe distribution hub):</w:t>
      </w:r>
    </w:p>
    <w:p>
      <w:pPr>
        <w:numPr>
          <w:ilvl w:val="0"/>
          <w:numId w:val="1009"/>
        </w:numPr>
        <w:pStyle w:val="Compact"/>
      </w:pPr>
    </w:p>
    <w:p>
      <w:pPr>
        <w:numPr>
          <w:ilvl w:val="1"/>
          <w:numId w:val="1010"/>
        </w:numPr>
        <w:pStyle w:val="Compact"/>
      </w:pPr>
      <w:r>
        <w:t xml:space="preserve">Distance: 1000 km [cite: smjdizfxos]</w:t>
      </w:r>
    </w:p>
    <w:p>
      <w:pPr>
        <w:numPr>
          <w:ilvl w:val="1"/>
          <w:numId w:val="1010"/>
        </w:numPr>
        <w:pStyle w:val="Compact"/>
      </w:pPr>
      <w:r>
        <w:t xml:space="preserve">Mode: Select Mode (Assumed Road Freight - Lorry, &gt;20t, Euro VI)</w:t>
      </w:r>
    </w:p>
    <w:p>
      <w:pPr>
        <w:numPr>
          <w:ilvl w:val="1"/>
          <w:numId w:val="1010"/>
        </w:numPr>
        <w:pStyle w:val="Compact"/>
      </w:pPr>
      <w:r>
        <w:t xml:space="preserve">Illustrative Emission Factor: 0.07 kgCO2e/tkm</w:t>
      </w:r>
    </w:p>
    <w:p>
      <w:pPr>
        <w:numPr>
          <w:ilvl w:val="1"/>
          <w:numId w:val="1010"/>
        </w:numPr>
        <w:pStyle w:val="Compact"/>
      </w:pPr>
      <w:r>
        <w:t xml:space="preserve">Emissions: (0.39 kg / 1000 kg/tonne) * 1000 km * 0.07 kgCO2e/tkm = 0.0273 kgCO2e</w:t>
      </w:r>
    </w:p>
    <w:p>
      <w:pPr>
        <w:numPr>
          <w:ilvl w:val="0"/>
          <w:numId w:val="1009"/>
        </w:numPr>
        <w:pStyle w:val="Compact"/>
      </w:pPr>
      <w:r>
        <w:t xml:space="preserve">Last-Mile Delivery:</w:t>
      </w:r>
    </w:p>
    <w:p>
      <w:pPr>
        <w:numPr>
          <w:ilvl w:val="0"/>
          <w:numId w:val="1009"/>
        </w:numPr>
        <w:pStyle w:val="Compact"/>
      </w:pPr>
    </w:p>
    <w:p>
      <w:pPr>
        <w:numPr>
          <w:ilvl w:val="1"/>
          <w:numId w:val="1011"/>
        </w:numPr>
        <w:pStyle w:val="Compact"/>
      </w:pPr>
      <w:r>
        <w:t xml:space="preserve">Channel: Delivery Type (Assumed Small Van - Diesel)</w:t>
      </w:r>
    </w:p>
    <w:p>
      <w:pPr>
        <w:numPr>
          <w:ilvl w:val="1"/>
          <w:numId w:val="1011"/>
        </w:numPr>
        <w:pStyle w:val="Compact"/>
      </w:pPr>
      <w:r>
        <w:t xml:space="preserve">Assumed Distance: 50 km</w:t>
      </w:r>
    </w:p>
    <w:p>
      <w:pPr>
        <w:numPr>
          <w:ilvl w:val="1"/>
          <w:numId w:val="1011"/>
        </w:numPr>
        <w:pStyle w:val="Compact"/>
      </w:pPr>
      <w:r>
        <w:t xml:space="preserve">Illustrative Emission Factor: 0.15 kgCO2e/tkm</w:t>
      </w:r>
    </w:p>
    <w:p>
      <w:pPr>
        <w:numPr>
          <w:ilvl w:val="1"/>
          <w:numId w:val="1011"/>
        </w:numPr>
        <w:pStyle w:val="Compact"/>
      </w:pPr>
      <w:r>
        <w:t xml:space="preserve">Emissions: (0.39 kg / 1000 kg/tonne) * 50 km * 0.15 kgCO2e/tkm = 0.0029 kgCO2e</w:t>
      </w:r>
    </w:p>
    <w:p>
      <w:pPr>
        <w:numPr>
          <w:ilvl w:val="0"/>
          <w:numId w:val="1009"/>
        </w:numPr>
        <w:pStyle w:val="Compact"/>
      </w:pPr>
      <w:r>
        <w:rPr>
          <w:bCs/>
          <w:b/>
        </w:rPr>
        <w:t xml:space="preserve">Total Scope 3, Cat 9 Emissions:</w:t>
      </w:r>
      <w:r>
        <w:t xml:space="preserve"> </w:t>
      </w:r>
      <w:r>
        <w:t xml:space="preserve">0.0273 kgCO2e + 0.0029 kgCO2e =</w:t>
      </w:r>
      <w:r>
        <w:t xml:space="preserve"> </w:t>
      </w:r>
      <w:r>
        <w:rPr>
          <w:bCs/>
          <w:b/>
        </w:rPr>
        <w:t xml:space="preserve">0.03 kgCO2e</w:t>
      </w:r>
    </w:p>
    <w:bookmarkEnd w:id="33"/>
    <w:bookmarkStart w:id="34" w:name="Xc8317952a1768483c5e6991e5c99e795eea626e"/>
    <w:p>
      <w:pPr>
        <w:pStyle w:val="Heading4"/>
      </w:pPr>
      <w:r>
        <w:t xml:space="preserve">Category 11: Use of Sold Products (9.05 kgCO2e)</w:t>
      </w:r>
    </w:p>
    <w:p>
      <w:pPr>
        <w:pStyle w:val="FirstParagraph"/>
      </w:pPr>
      <w:r>
        <w:t xml:space="preserve">Emissions resulting from the energy consumption of the product during its expected lifespan.</w:t>
      </w:r>
    </w:p>
    <w:p>
      <w:pPr>
        <w:numPr>
          <w:ilvl w:val="0"/>
          <w:numId w:val="1012"/>
        </w:numPr>
        <w:pStyle w:val="Compact"/>
      </w:pPr>
      <w:r>
        <w:t xml:space="preserve">Product Lifespan: 5 years [cite: xlxzlegnet]</w:t>
      </w:r>
    </w:p>
    <w:p>
      <w:pPr>
        <w:numPr>
          <w:ilvl w:val="0"/>
          <w:numId w:val="1012"/>
        </w:numPr>
        <w:pStyle w:val="Compact"/>
      </w:pPr>
      <w:r>
        <w:t xml:space="preserve">Energy Consumption in Use: 10 kWh/year [cite: dpzeqskjhn]</w:t>
      </w:r>
    </w:p>
    <w:p>
      <w:pPr>
        <w:numPr>
          <w:ilvl w:val="0"/>
          <w:numId w:val="1012"/>
        </w:numPr>
        <w:pStyle w:val="Compact"/>
      </w:pPr>
      <w:r>
        <w:t xml:space="preserve">Total Energy Consumption: 5 years * 10 kWh/year = 50 kWh</w:t>
      </w:r>
    </w:p>
    <w:p>
      <w:pPr>
        <w:numPr>
          <w:ilvl w:val="0"/>
          <w:numId w:val="1012"/>
        </w:numPr>
        <w:pStyle w:val="Compact"/>
      </w:pPr>
      <w:r>
        <w:t xml:space="preserve">European Grid Emission Factor (2024): 0.181 kgCO2e/kWh</w:t>
      </w:r>
    </w:p>
    <w:p>
      <w:pPr>
        <w:numPr>
          <w:ilvl w:val="0"/>
          <w:numId w:val="1012"/>
        </w:numPr>
        <w:pStyle w:val="Compact"/>
      </w:pPr>
      <w:r>
        <w:rPr>
          <w:bCs/>
          <w:b/>
        </w:rPr>
        <w:t xml:space="preserve">Scope 3, Cat 11 Emissions:</w:t>
      </w:r>
      <w:r>
        <w:t xml:space="preserve"> </w:t>
      </w:r>
      <w:r>
        <w:t xml:space="preserve">50 kWh * 0.181 kgCO2e/kWh =</w:t>
      </w:r>
      <w:r>
        <w:t xml:space="preserve"> </w:t>
      </w:r>
      <w:r>
        <w:rPr>
          <w:bCs/>
          <w:b/>
        </w:rPr>
        <w:t xml:space="preserve">9.05 kgCO2e</w:t>
      </w:r>
    </w:p>
    <w:bookmarkEnd w:id="34"/>
    <w:bookmarkStart w:id="35" w:name="X08136a5cfe449f725e579bb7d26e39f7658ab98"/>
    <w:p>
      <w:pPr>
        <w:pStyle w:val="Heading4"/>
      </w:pPr>
      <w:r>
        <w:t xml:space="preserve">Category 12: End-of-Life Treatment of Sold Products (-0.92 kgCO2e)</w:t>
      </w:r>
    </w:p>
    <w:p>
      <w:pPr>
        <w:pStyle w:val="FirstParagraph"/>
      </w:pPr>
      <w:r>
        <w:t xml:space="preserve">Emissions (and potential credits) from the disposal and recycling of the product at the end of its life.</w:t>
      </w:r>
    </w:p>
    <w:p>
      <w:pPr>
        <w:numPr>
          <w:ilvl w:val="0"/>
          <w:numId w:val="1013"/>
        </w:numPr>
        <w:pStyle w:val="Compact"/>
      </w:pPr>
      <w:r>
        <w:t xml:space="preserve">Total Product Weight at EoL: 0.39 kg</w:t>
      </w:r>
    </w:p>
    <w:p>
      <w:pPr>
        <w:numPr>
          <w:ilvl w:val="0"/>
          <w:numId w:val="1013"/>
        </w:numPr>
        <w:pStyle w:val="Compact"/>
      </w:pPr>
      <w:r>
        <w:t xml:space="preserve">Recyclability Percentage: 80% [cite: xtxsmzxgue]</w:t>
      </w:r>
    </w:p>
    <w:p>
      <w:pPr>
        <w:numPr>
          <w:ilvl w:val="0"/>
          <w:numId w:val="1013"/>
        </w:numPr>
        <w:pStyle w:val="Compact"/>
      </w:pPr>
      <w:r>
        <w:t xml:space="preserve">Disposed Portion: 0.39 kg * (1 - 0.80) = 0.078 kg</w:t>
      </w:r>
    </w:p>
    <w:p>
      <w:pPr>
        <w:numPr>
          <w:ilvl w:val="0"/>
          <w:numId w:val="1013"/>
        </w:numPr>
        <w:pStyle w:val="Compact"/>
      </w:pPr>
      <w:r>
        <w:t xml:space="preserve">Emissions from Disposal:</w:t>
      </w:r>
    </w:p>
    <w:p>
      <w:pPr>
        <w:numPr>
          <w:ilvl w:val="0"/>
          <w:numId w:val="1013"/>
        </w:numPr>
        <w:pStyle w:val="Compact"/>
      </w:pPr>
    </w:p>
    <w:p>
      <w:pPr>
        <w:numPr>
          <w:ilvl w:val="1"/>
          <w:numId w:val="1014"/>
        </w:numPr>
        <w:pStyle w:val="Compact"/>
      </w:pPr>
      <w:r>
        <w:t xml:space="preserve">Illustrative Disposal Emission Factor (blended landfill/incineration): 1.0 kgCO2e/kg</w:t>
      </w:r>
    </w:p>
    <w:p>
      <w:pPr>
        <w:numPr>
          <w:ilvl w:val="1"/>
          <w:numId w:val="1014"/>
        </w:numPr>
        <w:pStyle w:val="Compact"/>
      </w:pPr>
      <w:r>
        <w:t xml:space="preserve">Disposal Emissions: 0.078 kg * 1.0 kgCO2e/kg = 0.078 kgCO2e</w:t>
      </w:r>
    </w:p>
    <w:p>
      <w:pPr>
        <w:numPr>
          <w:ilvl w:val="0"/>
          <w:numId w:val="1013"/>
        </w:numPr>
        <w:pStyle w:val="Compact"/>
      </w:pPr>
      <w:r>
        <w:t xml:space="preserve">Recycling Credit:</w:t>
      </w:r>
    </w:p>
    <w:p>
      <w:pPr>
        <w:numPr>
          <w:ilvl w:val="0"/>
          <w:numId w:val="1013"/>
        </w:numPr>
        <w:pStyle w:val="Compact"/>
      </w:pPr>
    </w:p>
    <w:p>
      <w:pPr>
        <w:numPr>
          <w:ilvl w:val="1"/>
          <w:numId w:val="1015"/>
        </w:numPr>
        <w:pStyle w:val="Compact"/>
      </w:pPr>
      <w:r>
        <w:t xml:space="preserve">Material emissions from Cat 1: 1.668 kgCO2e</w:t>
      </w:r>
    </w:p>
    <w:p>
      <w:pPr>
        <w:numPr>
          <w:ilvl w:val="1"/>
          <w:numId w:val="1015"/>
        </w:numPr>
        <w:pStyle w:val="Compact"/>
      </w:pPr>
      <w:r>
        <w:t xml:space="preserve">Credit for 80% recycled portion, assuming 75% avoidance of virgin material emissions: 1.668 kgCO2e * 0.80 * 0.75 = 1.0008 kgCO2e (as a credit)</w:t>
      </w:r>
    </w:p>
    <w:p>
      <w:pPr>
        <w:numPr>
          <w:ilvl w:val="0"/>
          <w:numId w:val="1013"/>
        </w:numPr>
        <w:pStyle w:val="Compact"/>
      </w:pPr>
      <w:r>
        <w:rPr>
          <w:bCs/>
          <w:b/>
        </w:rPr>
        <w:t xml:space="preserve">Net Scope 3, Cat 12 Emissions:</w:t>
      </w:r>
      <w:r>
        <w:t xml:space="preserve"> </w:t>
      </w:r>
      <w:r>
        <w:t xml:space="preserve">0.078 kgCO2e - 1.0008 kgCO2e =</w:t>
      </w:r>
      <w:r>
        <w:t xml:space="preserve"> </w:t>
      </w:r>
      <w:r>
        <w:rPr>
          <w:bCs/>
          <w:b/>
        </w:rPr>
        <w:t xml:space="preserve">-0.92 kgCO2e</w:t>
      </w:r>
    </w:p>
    <w:bookmarkEnd w:id="35"/>
    <w:bookmarkEnd w:id="36"/>
    <w:bookmarkStart w:id="37" w:name="X299a3717db401fbc63eac38de0814f3ad8939f4"/>
    <w:p>
      <w:pPr>
        <w:pStyle w:val="Heading3"/>
      </w:pPr>
      <w:r>
        <w:t xml:space="preserve">Total Product Carbon Footprint (PCF) Summary</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GHG Scope/Category</w:t>
            </w:r>
          </w:p>
        </w:tc>
        <w:tc>
          <w:tcPr/>
          <w:p>
            <w:pPr>
              <w:pStyle w:val="Compact"/>
              <w:jc w:val="left"/>
            </w:pPr>
            <w:r>
              <w:t xml:space="preserve">Description</w:t>
            </w:r>
          </w:p>
        </w:tc>
        <w:tc>
          <w:tcPr/>
          <w:p>
            <w:pPr>
              <w:pStyle w:val="Compact"/>
              <w:jc w:val="left"/>
            </w:pPr>
            <w:r>
              <w:t xml:space="preserve">Emissions (kgCO2e)</w:t>
            </w:r>
          </w:p>
        </w:tc>
        <w:tc>
          <w:tcPr/>
          <w:p>
            <w:pPr>
              <w:pStyle w:val="Compact"/>
              <w:jc w:val="left"/>
            </w:pPr>
            <w:r>
              <w:t xml:space="preserve">Percentage of Total (%)</w:t>
            </w:r>
          </w:p>
        </w:tc>
      </w:tr>
      <w:tr>
        <w:tc>
          <w:tcPr/>
          <w:p>
            <w:pPr>
              <w:pStyle w:val="Compact"/>
              <w:jc w:val="left"/>
            </w:pPr>
            <w:r>
              <w:t xml:space="preserve">Scope 1</w:t>
            </w:r>
          </w:p>
        </w:tc>
        <w:tc>
          <w:tcPr/>
          <w:p>
            <w:pPr>
              <w:pStyle w:val="Compact"/>
              <w:jc w:val="left"/>
            </w:pPr>
            <w:r>
              <w:t xml:space="preserve">Direct Emissions</w:t>
            </w:r>
          </w:p>
        </w:tc>
        <w:tc>
          <w:tcPr/>
          <w:p>
            <w:pPr>
              <w:pStyle w:val="Compact"/>
              <w:jc w:val="left"/>
            </w:pPr>
            <w:r>
              <w:t xml:space="preserve">0.00</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Purchased Electricity (Production)</w:t>
            </w:r>
          </w:p>
        </w:tc>
        <w:tc>
          <w:tcPr/>
          <w:p>
            <w:pPr>
              <w:pStyle w:val="Compact"/>
              <w:jc w:val="left"/>
            </w:pPr>
            <w:r>
              <w:t xml:space="preserve">0.93</w:t>
            </w:r>
          </w:p>
        </w:tc>
        <w:tc>
          <w:tcPr/>
          <w:p>
            <w:pPr>
              <w:pStyle w:val="Compact"/>
              <w:jc w:val="left"/>
            </w:pPr>
            <w:r>
              <w:t xml:space="preserve">8.63%</w:t>
            </w:r>
          </w:p>
        </w:tc>
      </w:tr>
      <w:tr>
        <w:tc>
          <w:tcPr>
            <w:gridSpan w:val="3"/>
          </w:tcPr>
          <w:p>
            <w:pPr>
              <w:pStyle w:val="Compact"/>
              <w:jc w:val="left"/>
            </w:pPr>
            <w:r>
              <w:rPr>
                <w:bCs/>
                <w:b/>
              </w:rPr>
              <w:t xml:space="preserve">Scope 3 - Upstream</w:t>
            </w:r>
          </w:p>
        </w:tc>
        <w:tc>
          <w:tcPr/>
          <w:p>
            <w:pPr>
              <w:pStyle w:val="Compact"/>
            </w:pPr>
          </w:p>
        </w:tc>
      </w:tr>
      <w:tr>
        <w:tc>
          <w:tcPr/>
          <w:p>
            <w:pPr>
              <w:pStyle w:val="Compact"/>
              <w:jc w:val="left"/>
            </w:pPr>
            <w:r>
              <w:t xml:space="preserve">Scope 3, Category 1</w:t>
            </w:r>
          </w:p>
        </w:tc>
        <w:tc>
          <w:tcPr/>
          <w:p>
            <w:pPr>
              <w:pStyle w:val="Compact"/>
              <w:jc w:val="left"/>
            </w:pPr>
            <w:r>
              <w:t xml:space="preserve">Purchased Goods and Services (Materials)</w:t>
            </w:r>
          </w:p>
        </w:tc>
        <w:tc>
          <w:tcPr/>
          <w:p>
            <w:pPr>
              <w:pStyle w:val="Compact"/>
              <w:jc w:val="left"/>
            </w:pPr>
            <w:r>
              <w:t xml:space="preserve">1.67</w:t>
            </w:r>
          </w:p>
        </w:tc>
        <w:tc>
          <w:tcPr/>
          <w:p>
            <w:pPr>
              <w:pStyle w:val="Compact"/>
              <w:jc w:val="left"/>
            </w:pPr>
            <w:r>
              <w:t xml:space="preserve">15.50%</w:t>
            </w:r>
          </w:p>
        </w:tc>
      </w:tr>
      <w:tr>
        <w:tc>
          <w:tcPr/>
          <w:p>
            <w:pPr>
              <w:pStyle w:val="Compact"/>
              <w:jc w:val="left"/>
            </w:pPr>
            <w:r>
              <w:t xml:space="preserve">Scope 3, Category 4</w:t>
            </w:r>
          </w:p>
        </w:tc>
        <w:tc>
          <w:tcPr/>
          <w:p>
            <w:pPr>
              <w:pStyle w:val="Compact"/>
              <w:jc w:val="left"/>
            </w:pPr>
            <w:r>
              <w:t xml:space="preserve">Upstream Transportation and Distribution</w:t>
            </w:r>
          </w:p>
        </w:tc>
        <w:tc>
          <w:tcPr/>
          <w:p>
            <w:pPr>
              <w:pStyle w:val="Compact"/>
              <w:jc w:val="left"/>
            </w:pPr>
            <w:r>
              <w:t xml:space="preserve">0.01</w:t>
            </w:r>
          </w:p>
        </w:tc>
        <w:tc>
          <w:tcPr/>
          <w:p>
            <w:pPr>
              <w:pStyle w:val="Compact"/>
              <w:jc w:val="left"/>
            </w:pPr>
            <w:r>
              <w:t xml:space="preserve">0.09%</w:t>
            </w:r>
          </w:p>
        </w:tc>
      </w:tr>
      <w:tr>
        <w:tc>
          <w:tcPr>
            <w:gridSpan w:val="3"/>
          </w:tcPr>
          <w:p>
            <w:pPr>
              <w:pStyle w:val="Compact"/>
              <w:jc w:val="left"/>
            </w:pPr>
            <w:r>
              <w:rPr>
                <w:bCs/>
                <w:b/>
              </w:rPr>
              <w:t xml:space="preserve">Scope 3 - Downstream</w:t>
            </w:r>
          </w:p>
        </w:tc>
        <w:tc>
          <w:tcPr/>
          <w:p>
            <w:pPr>
              <w:pStyle w:val="Compact"/>
            </w:pPr>
          </w:p>
        </w:tc>
      </w:tr>
      <w:tr>
        <w:tc>
          <w:tcPr/>
          <w:p>
            <w:pPr>
              <w:pStyle w:val="Compact"/>
              <w:jc w:val="left"/>
            </w:pPr>
            <w:r>
              <w:t xml:space="preserve">Scope 3, Category 9</w:t>
            </w:r>
          </w:p>
        </w:tc>
        <w:tc>
          <w:tcPr/>
          <w:p>
            <w:pPr>
              <w:pStyle w:val="Compact"/>
              <w:jc w:val="left"/>
            </w:pPr>
            <w:r>
              <w:t xml:space="preserve">Downstream Transportation and Distribution</w:t>
            </w:r>
          </w:p>
        </w:tc>
        <w:tc>
          <w:tcPr/>
          <w:p>
            <w:pPr>
              <w:pStyle w:val="Compact"/>
              <w:jc w:val="left"/>
            </w:pPr>
            <w:r>
              <w:t xml:space="preserve">0.03</w:t>
            </w:r>
          </w:p>
        </w:tc>
        <w:tc>
          <w:tcPr/>
          <w:p>
            <w:pPr>
              <w:pStyle w:val="Compact"/>
              <w:jc w:val="left"/>
            </w:pPr>
            <w:r>
              <w:t xml:space="preserve">0.28%</w:t>
            </w:r>
          </w:p>
        </w:tc>
      </w:tr>
      <w:tr>
        <w:tc>
          <w:tcPr/>
          <w:p>
            <w:pPr>
              <w:pStyle w:val="Compact"/>
              <w:jc w:val="left"/>
            </w:pPr>
            <w:r>
              <w:t xml:space="preserve">Scope 3, Category 11</w:t>
            </w:r>
          </w:p>
        </w:tc>
        <w:tc>
          <w:tcPr/>
          <w:p>
            <w:pPr>
              <w:pStyle w:val="Compact"/>
              <w:jc w:val="left"/>
            </w:pPr>
            <w:r>
              <w:t xml:space="preserve">Use of Sold Products</w:t>
            </w:r>
          </w:p>
        </w:tc>
        <w:tc>
          <w:tcPr/>
          <w:p>
            <w:pPr>
              <w:pStyle w:val="Compact"/>
              <w:jc w:val="left"/>
            </w:pPr>
            <w:r>
              <w:t xml:space="preserve">9.05</w:t>
            </w:r>
          </w:p>
        </w:tc>
        <w:tc>
          <w:tcPr/>
          <w:p>
            <w:pPr>
              <w:pStyle w:val="Compact"/>
              <w:jc w:val="left"/>
            </w:pPr>
            <w:r>
              <w:t xml:space="preserve">83.99%</w:t>
            </w:r>
          </w:p>
        </w:tc>
      </w:tr>
      <w:tr>
        <w:tc>
          <w:tcPr/>
          <w:p>
            <w:pPr>
              <w:pStyle w:val="Compact"/>
              <w:jc w:val="left"/>
            </w:pPr>
            <w:r>
              <w:t xml:space="preserve">Scope 3, Category 12</w:t>
            </w:r>
          </w:p>
        </w:tc>
        <w:tc>
          <w:tcPr/>
          <w:p>
            <w:pPr>
              <w:pStyle w:val="Compact"/>
              <w:jc w:val="left"/>
            </w:pPr>
            <w:r>
              <w:t xml:space="preserve">End-of-Life Treatment of Sold Products</w:t>
            </w:r>
          </w:p>
        </w:tc>
        <w:tc>
          <w:tcPr/>
          <w:p>
            <w:pPr>
              <w:pStyle w:val="Compact"/>
              <w:jc w:val="left"/>
            </w:pPr>
            <w:r>
              <w:t xml:space="preserve">-0.92</w:t>
            </w:r>
          </w:p>
        </w:tc>
        <w:tc>
          <w:tcPr/>
          <w:p>
            <w:pPr>
              <w:pStyle w:val="Compact"/>
              <w:jc w:val="left"/>
            </w:pPr>
            <w:r>
              <w:t xml:space="preserve">-8.54%</w:t>
            </w:r>
          </w:p>
        </w:tc>
      </w:tr>
      <w:tr>
        <w:tc>
          <w:tcPr>
            <w:gridSpan w:val="2"/>
          </w:tcPr>
          <w:p>
            <w:pPr>
              <w:pStyle w:val="Compact"/>
              <w:jc w:val="right"/>
            </w:pPr>
            <w:r>
              <w:t xml:space="preserve">TOTAL PRODUCT CARBON FOOTPRINT (kgCO2e/Functional Unit):</w:t>
            </w:r>
          </w:p>
        </w:tc>
        <w:tc>
          <w:tcPr/>
          <w:p>
            <w:pPr>
              <w:pStyle w:val="Compact"/>
              <w:jc w:val="left"/>
            </w:pPr>
            <w:r>
              <w:rPr>
                <w:bCs/>
                <w:b/>
              </w:rPr>
              <w:t xml:space="preserve">10.77</w:t>
            </w:r>
          </w:p>
        </w:tc>
        <w:tc>
          <w:tcPr/>
          <w:p>
            <w:pPr>
              <w:pStyle w:val="Compact"/>
              <w:jc w:val="left"/>
            </w:pPr>
            <w:r>
              <w:rPr>
                <w:bCs/>
                <w:b/>
              </w:rPr>
              <w:t xml:space="preserve">100.00%</w:t>
            </w:r>
          </w:p>
        </w:tc>
      </w:tr>
    </w:tbl>
    <w:p>
      <w:pPr>
        <w:pStyle w:val="BodyText"/>
      </w:pPr>
      <w:r>
        <w:rPr>
          <w:iCs/>
          <w:i/>
        </w:rPr>
        <w:t xml:space="preserve">Note: Percentages may not sum to 100% due to rounding and the inclusion of EoL credits.</w:t>
      </w:r>
    </w:p>
    <w:p>
      <w:r>
        <w:pict>
          <v:rect style="width:0;height:1.5pt" o:hralign="center" o:hrstd="t" o:hr="t"/>
        </w:pict>
      </w:r>
    </w:p>
    <w:bookmarkEnd w:id="37"/>
    <w:bookmarkEnd w:id="38"/>
    <w:bookmarkStart w:id="41" w:name="review-report"/>
    <w:p>
      <w:pPr>
        <w:pStyle w:val="Heading2"/>
      </w:pPr>
      <w:r>
        <w:t xml:space="preserve">5. Review &amp; Report</w:t>
      </w:r>
    </w:p>
    <w:bookmarkStart w:id="39" w:name="hotspots-and-reliability"/>
    <w:p>
      <w:pPr>
        <w:pStyle w:val="Heading3"/>
      </w:pPr>
      <w:r>
        <w:t xml:space="preserve">Hotspots and Reliability</w:t>
      </w:r>
    </w:p>
    <w:p>
      <w:pPr>
        <w:pStyle w:val="FirstParagraph"/>
      </w:pPr>
      <w:r>
        <w:t xml:space="preserve">The most significant hotspot for the mtjrjrvxls product is the **Use of Sold Products (Scope 3, Category 11)**, accounting for approximately 84% of the total PCF. This is primarily driven by the product\'s lifespan and its energy consumption during use, even with average European grid decarbonization. The second largest contributor is **Purchased Goods and Services (Scope 3, Category 1)**, reflecting the embedded emissions in raw materials and components, which is common for manufactured goods.</w:t>
      </w:r>
    </w:p>
    <w:p>
      <w:pPr>
        <w:pStyle w:val="BodyText"/>
      </w:pPr>
      <w:r>
        <w:t xml:space="preserve">The reliability of this assessment is enhanced by using specific data for the Bill of Materials, energy consumption, and stated renewable energy usage. However, some aspects rely on illustrative emission factors for transport and end-of-life processes, as well as general grid emission factors for China and Europe. Further primary data collection from specific suppliers and logistics providers would improve the accuracy. The application of a recycling credit for End-of-Life significantly reduces the overall footprint, highlighting the positive impact of circular economy initiatives.</w:t>
      </w:r>
    </w:p>
    <w:bookmarkEnd w:id="39"/>
    <w:bookmarkStart w:id="40" w:name="X8877664c7f8833a514558f437f739c3634cd437"/>
    <w:p>
      <w:pPr>
        <w:pStyle w:val="Heading3"/>
      </w:pPr>
      <w:r>
        <w:t xml:space="preserve">Adherence to GHG Protocol and 2026 Updates</w:t>
      </w:r>
    </w:p>
    <w:p>
      <w:pPr>
        <w:numPr>
          <w:ilvl w:val="0"/>
          <w:numId w:val="1016"/>
        </w:numPr>
        <w:pStyle w:val="Compact"/>
      </w:pPr>
      <w:r>
        <w:rPr>
          <w:bCs/>
          <w:b/>
        </w:rPr>
        <w:t xml:space="preserve">GHG Protocol Compliance:</w:t>
      </w:r>
      <w:r>
        <w:t xml:space="preserve"> </w:t>
      </w:r>
      <w:r>
        <w:t xml:space="preserve">This analysis adheres to the GHG Protocol Product Standard by systematically categorizing emissions into Scope 1, 2, and 3.</w:t>
      </w:r>
    </w:p>
    <w:p>
      <w:pPr>
        <w:numPr>
          <w:ilvl w:val="0"/>
          <w:numId w:val="1016"/>
        </w:numPr>
        <w:pStyle w:val="Compact"/>
      </w:pPr>
      <w:r>
        <w:rPr>
          <w:bCs/>
          <w:b/>
        </w:rPr>
        <w:t xml:space="preserve">2026 LSR Update:</w:t>
      </w:r>
      <w:r>
        <w:t xml:space="preserve"> </w:t>
      </w:r>
      <w:r>
        <w:t xml:space="preserve">The GHG Protocol Land Sector and Removals (LSR) Standard was released on January 30, 2026, and becomes effective January 1, 2027. This standard provides guidance for accounting for emissions and removals from agricultural and land use activities. Given that specific land-use or land-use change data related to the sourcing of raw materials was not provided, direct quantification under the LSR Standard is not performed in this report. However, the embedded emissions factors for materials (Scope 3, Category 1) are assumed to encompass relevant upstream land-related impacts where available in the underlying databases. For a more detailed assessment, specific data on land-intensive raw materials would be required to fully implement LSR guidance. Forest carbon accounting is explicitly not included in the current version of the LSR Standard and remains under development.</w:t>
      </w:r>
    </w:p>
    <w:p>
      <w:pPr>
        <w:numPr>
          <w:ilvl w:val="0"/>
          <w:numId w:val="1016"/>
        </w:numPr>
        <w:pStyle w:val="Compact"/>
      </w:pPr>
      <w:r>
        <w:rPr>
          <w:bCs/>
          <w:b/>
        </w:rPr>
        <w:t xml:space="preserve">Scope 3 Compliance (95% Coverage):</w:t>
      </w:r>
      <w:r>
        <w:t xml:space="preserve"> </w:t>
      </w:r>
      <w:r>
        <w:t xml:space="preserve">The GHG Protocol\'s 2026 requirements emphasize a 95% completeness rule for Scope 3 emissions to claim conformance. This report covers the most material Scope 3 categories for a physical product (Categories 1, 4, 9, 11, and 12), which typically constitute the vast majority of such a product\'s footprint. While other Scope 3 categories (e.g., business travel, employee commuting, capital goods for the company\'s general operations, waste from operations not product EoL) exist, they are assumed to be less significant for the product\'s lifecycle footprint or data was not provided for their assessment within the scope of this PCF. A comprehensive corporate-level GHG inventory would screen and potentially quantify all 15 Scope 3 categories. The data disaggregation into primary (BOM, energy usage) and secondary (emission factors) data points has been maintained as per upcoming 2026 requirements.</w:t>
      </w:r>
    </w:p>
    <w:p>
      <w:r>
        <w:pict>
          <v:rect style="width:0;height:1.5pt" o:hralign="center" o:hrstd="t" o:hr="t"/>
        </w:pict>
      </w:r>
    </w:p>
    <w:p>
      <w:pPr>
        <w:pStyle w:val="FirstParagraph"/>
      </w:pPr>
      <w:r>
        <w:t xml:space="preserve">Confidential - Internal Use Only</w:t>
      </w:r>
    </w:p>
    <w:bookmarkEnd w:id="40"/>
    <w:bookmarkEnd w:id="41"/>
    <w:bookmarkEnd w:id="4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mtjrjrvxls</dc:title>
  <dc:creator/>
  <dc:description>High-detail Product Carbon Footprint (PCF) analysis for mtjrjrvxls by Senior Sustainability Consultant ihieuijqik, adhering to GHG Protocol standards including 2026 updates for Scope 3 and LSR.</dc:description>
  <dc:language>en</dc:language>
  <cp:keywords/>
  <dcterms:created xsi:type="dcterms:W3CDTF">2026-07-15T10:25:16Z</dcterms:created>
  <dcterms:modified xsi:type="dcterms:W3CDTF">2026-07-15T10:25:16Z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