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mrsnekwuge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mrsnekwuge</w:t>
      </w:r>
    </w:p>
    <w:p>
      <w:pPr>
        <w:pStyle w:val="BodyText"/>
      </w:pPr>
      <w:r>
        <w:rPr>
          <w:bCs/>
          <w:b/>
        </w:rPr>
        <w:t xml:space="preserve">Company:</w:t>
      </w:r>
      <w:r>
        <w:t xml:space="preserve"> </w:t>
      </w:r>
      <w:r>
        <w:t xml:space="preserve">jtlmziyktj</w:t>
      </w:r>
    </w:p>
    <w:p>
      <w:pPr>
        <w:pStyle w:val="BodyText"/>
      </w:pPr>
      <w:r>
        <w:rPr>
          <w:bCs/>
          <w:b/>
        </w:rPr>
        <w:t xml:space="preserve">Senior Sustainability Consultant:</w:t>
      </w:r>
      <w:r>
        <w:t xml:space="preserve"> </w:t>
      </w:r>
      <w:r>
        <w:t xml:space="preserve">izloiyziez</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illustrative parameters provided in the prompt, and industry standards. While efforts have been made to ensure accuracy within these constraints, actual values may vary.</w:t>
      </w:r>
    </w:p>
    <w:p>
      <w:pPr>
        <w:pStyle w:val="BodyText"/>
      </w:pPr>
      <w:r>
        <w:t xml:space="preserve">Generated Date: May 27, 2026</w:t>
      </w:r>
    </w:p>
    <w:bookmarkEnd w:id="20"/>
    <w:bookmarkStart w:id="21" w:name="Xca6e8e392029e3c7c26043613bd51d13fe5e8a6"/>
    <w:p>
      <w:pPr>
        <w:pStyle w:val="Heading1"/>
      </w:pPr>
      <w:r>
        <w:t xml:space="preserve">Product Carbon Footprint Analysis Report - mrsnekwuge</w:t>
      </w:r>
    </w:p>
    <w:p>
      <w:pPr>
        <w:pStyle w:val="FirstParagraph"/>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mrsnekwuge</w:t>
      </w:r>
      <w:r>
        <w:t xml:space="preserve">, manufactured by</w:t>
      </w:r>
      <w:r>
        <w:t xml:space="preserve"> </w:t>
      </w:r>
      <w:r>
        <w:rPr>
          <w:bCs/>
          <w:b/>
        </w:rPr>
        <w:t xml:space="preserve">jtlmziyktj</w:t>
      </w:r>
      <w:r>
        <w:t xml:space="preserve">. Conducted by Senior Sustainability Consultant</w:t>
      </w:r>
      <w:r>
        <w:t xml:space="preserve"> </w:t>
      </w:r>
      <w:r>
        <w:rPr>
          <w:bCs/>
          <w:b/>
        </w:rPr>
        <w:t xml:space="preserve">izloiyziez</w:t>
      </w:r>
      <w:r>
        <w:t xml:space="preserve">, the analysis strictly adheres to the Greenhouse Gas (GHG) Protocol, including considerations for the 2026 Land Sector and Removals (LSR) Standard update. The primary objective is to quantify the total greenhouse gas emissions (expressed in CO2 equivalents, CO2e) across the product\'s lifecycle, identify emission hotspots, and provide insights for reduction strategies. The assessment follows a cradle-to-gate approach, extended to include the use phase and end-of-life scenarios as per provided parameters.</w:t>
      </w:r>
    </w:p>
    <w:p>
      <w:pPr>
        <w:pStyle w:val="BodyText"/>
      </w:pPr>
      <w:r>
        <w:rPr>
          <w:bCs/>
          <w:b/>
        </w:rPr>
        <w:t xml:space="preserve">Note on Data:</w:t>
      </w:r>
      <w:r>
        <w:t xml:space="preserve"> </w:t>
      </w:r>
      <w:r>
        <w:t xml:space="preserve">The parameters for Bill of Materials (BOM), transport, energy, product lifespan, energy consumption in use, recyclability, and circular programs were provided as placeholders (e.g., \'ryjungpl\', \'Select Mode\'). For this report, illustrative data consistent with the specified formats and plausible industry averages have been used to perform the detailed calculations. These illustrative values are explicitly stated within the relevant sections.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mrsnekwuge</w:t>
      </w:r>
      <w:r>
        <w:t xml:space="preserve"> </w:t>
      </w:r>
      <w:r>
        <w:t xml:space="preserve">follows the Greenhouse Gas (GHG) Protocol, a globally recognized standard for GHG accounting. The methodology is structured into five key steps: Define Scope, Map Lifecycle, Collect Data, Calculate Emissions, and Review &amp; Report.</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mrsnekwuge</w:t>
      </w:r>
      <w:r>
        <w:t xml:space="preserve">, representing the service or utility the product provides over its specified lifespan.</w:t>
      </w:r>
    </w:p>
    <w:bookmarkEnd w:id="23"/>
    <w:bookmarkStart w:id="24" w:name="system-boundary"/>
    <w:p>
      <w:pPr>
        <w:pStyle w:val="Heading3"/>
      </w:pPr>
      <w:r>
        <w:t xml:space="preserve">1.2. System Boundary</w:t>
      </w:r>
    </w:p>
    <w:p>
      <w:pPr>
        <w:numPr>
          <w:ilvl w:val="0"/>
          <w:numId w:val="1002"/>
        </w:numPr>
        <w:pStyle w:val="Compact"/>
      </w:pPr>
      <w:r>
        <w:t xml:space="preserve">The primary system boundary for this PCF is</w:t>
      </w:r>
      <w:r>
        <w:t xml:space="preserve"> </w:t>
      </w:r>
      <w:r>
        <w:rPr>
          <w:bCs/>
          <w:b/>
        </w:rPr>
        <w:t xml:space="preserve">cradle-to-gate</w:t>
      </w:r>
      <w:r>
        <w:t xml:space="preserve">, encompassing all processes from raw material extraction, through manufacturing, up to the point the product leaves the factory gate in China.</w:t>
      </w:r>
    </w:p>
    <w:p>
      <w:pPr>
        <w:numPr>
          <w:ilvl w:val="0"/>
          <w:numId w:val="1002"/>
        </w:numPr>
        <w:pStyle w:val="Compact"/>
      </w:pPr>
      <w:r>
        <w:t xml:space="preserve">However, as specifically requested by the parameters, the analysis extends beyond the factory gate to include the downstream</w:t>
      </w:r>
      <w:r>
        <w:t xml:space="preserve"> </w:t>
      </w:r>
      <w:r>
        <w:rPr>
          <w:bCs/>
          <w:b/>
        </w:rPr>
        <w:t xml:space="preserve">Use Phase</w:t>
      </w:r>
      <w:r>
        <w:t xml:space="preserve"> </w:t>
      </w:r>
      <w:r>
        <w:t xml:space="preserve">and</w:t>
      </w:r>
      <w:r>
        <w:t xml:space="preserve"> </w:t>
      </w:r>
      <w:r>
        <w:rPr>
          <w:bCs/>
          <w:b/>
        </w:rPr>
        <w:t xml:space="preserve">End-of-Life (EoL)</w:t>
      </w:r>
      <w:r>
        <w:t xml:space="preserve"> </w:t>
      </w:r>
      <w:r>
        <w:t xml:space="preserve">treatment, making it closer to a comprehensive cradle-to-grave assessment for a fuller understanding of the product\'s environmental impact.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raw material sourcing and end-user market are in or connected to Europe, with production in China).</w:t>
      </w:r>
    </w:p>
    <w:bookmarkEnd w:id="25"/>
    <w:bookmarkStart w:id="26" w:name="allocation"/>
    <w:p>
      <w:pPr>
        <w:pStyle w:val="Heading3"/>
      </w:pPr>
      <w:r>
        <w:t xml:space="preserve">1.4. Allocation</w:t>
      </w:r>
    </w:p>
    <w:p>
      <w:pPr>
        <w:numPr>
          <w:ilvl w:val="0"/>
          <w:numId w:val="1004"/>
        </w:numPr>
        <w:pStyle w:val="Compact"/>
      </w:pPr>
      <w:r>
        <w:t xml:space="preserve">Emissions have been allocated directly to the functional unit (1.0 unit of mrsnekwuge). Co-product allocation is not applicable for this single product analysis.</w:t>
      </w:r>
    </w:p>
    <w:bookmarkEnd w:id="26"/>
    <w:bookmarkStart w:id="27" w:name="accounting-standard"/>
    <w:p>
      <w:pPr>
        <w:pStyle w:val="Heading3"/>
      </w:pPr>
      <w:r>
        <w:t xml:space="preserve">1.5. Accounting Standard</w:t>
      </w:r>
    </w:p>
    <w:p>
      <w:pPr>
        <w:numPr>
          <w:ilvl w:val="0"/>
          <w:numId w:val="1005"/>
        </w:numPr>
        <w:pStyle w:val="Compact"/>
      </w:pPr>
      <w:r>
        <w:t xml:space="preserve">This analysis strictly adheres to the</w:t>
      </w:r>
      <w:r>
        <w:t xml:space="preserve"> </w:t>
      </w:r>
      <w:r>
        <w:rPr>
          <w:bCs/>
          <w:b/>
        </w:rPr>
        <w:t xml:space="preserve">GHG Protocol</w:t>
      </w:r>
      <w:r>
        <w:t xml:space="preserve"> </w:t>
      </w:r>
      <w:r>
        <w:t xml:space="preserve">for corporate and value chain accounting and reporting.</w:t>
      </w:r>
    </w:p>
    <w:p>
      <w:pPr>
        <w:numPr>
          <w:ilvl w:val="0"/>
          <w:numId w:val="1005"/>
        </w:numPr>
        <w:pStyle w:val="Compact"/>
      </w:pPr>
      <w:r>
        <w:t xml:space="preserve">The analysis categorizes emissions into Scope 1 (direct), Scope 2 (purchased energy), and Scope 3 (value chain) to ensure comprehensive reporting and compliance.</w:t>
      </w:r>
    </w:p>
    <w:p>
      <w:pPr>
        <w:numPr>
          <w:ilvl w:val="0"/>
          <w:numId w:val="1005"/>
        </w:numPr>
        <w:pStyle w:val="Compact"/>
      </w:pPr>
      <w:r>
        <w:t xml:space="preserve">The</w:t>
      </w:r>
      <w:r>
        <w:t xml:space="preserve"> </w:t>
      </w:r>
      <w:r>
        <w:rPr>
          <w:bCs/>
          <w:b/>
        </w:rPr>
        <w:t xml:space="preserve">2026 Land Sector and Removals (LSR) Standard update</w:t>
      </w:r>
      <w:r>
        <w:t xml:space="preserve"> </w:t>
      </w:r>
      <w:r>
        <w:t xml:space="preserve">has been considered. While the direct land-use emissions for a "Smart Home Device" are minimal, the principles of accounting for removals and land-related emissions within the value chain are noted. The LSR Standard, effective January 1, 2027, provides guidelines for agriculture and CO2 removal technologies and complements the Corporate Standard and Scope 3 Standard.</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inputs and processes across the lifecycle of mrsnekwuge, along with the illustrative data collected for emission calculations.</w:t>
      </w:r>
    </w:p>
    <w:bookmarkStart w:id="29" w:name="Xb7d45b97aaf5c445ce30c7406606b34ccbcfa42"/>
    <w:p>
      <w:pPr>
        <w:pStyle w:val="Heading3"/>
      </w:pPr>
      <w:r>
        <w:t xml:space="preserve">2.1. Illustrative Bill of Materials (BOM) &amp; Material Inputs (Scope 3, Category 1)</w:t>
      </w:r>
    </w:p>
    <w:p>
      <w:pPr>
        <w:pStyle w:val="FirstParagraph"/>
      </w:pPr>
      <w:r>
        <w:t xml:space="preserve">The provided parameter \'ryjungpl\' served as a placeholder for the BOM structure. For this analysis, an illustrative BOM for a "Smart Home Device" (mrsnekwuge) has been constructed, following the specified format (ID, Description, Category, Process, Qty, Unit, Emission Factor, Total Carbon). The \'Total Carbon\' values in the table are derived from \'Qty * Emission Factor\' for consistency in this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Illustrative Emission Factor (kg CO2e/kg)</w:t>
            </w:r>
          </w:p>
        </w:tc>
        <w:tc>
          <w:tcPr/>
          <w:p>
            <w:pPr>
              <w:pStyle w:val="Compact"/>
              <w:jc w:val="left"/>
            </w:pPr>
            <w:r>
              <w:t xml:space="preserve">Illustrative 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0.040</w:t>
            </w:r>
          </w:p>
        </w:tc>
      </w:tr>
      <w:tr>
        <w:tc>
          <w:tcPr/>
          <w:p>
            <w:pPr>
              <w:pStyle w:val="Compact"/>
              <w:jc w:val="left"/>
            </w:pPr>
            <w:r>
              <w:t xml:space="preserve">5</w:t>
            </w:r>
          </w:p>
        </w:tc>
        <w:tc>
          <w:tcPr/>
          <w:p>
            <w:pPr>
              <w:pStyle w:val="Compact"/>
              <w:jc w:val="left"/>
            </w:pPr>
            <w:r>
              <w:t xml:space="preserve">LED Lights (x5)</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0.125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0.120</w:t>
            </w:r>
          </w:p>
        </w:tc>
      </w:tr>
      <w:tr>
        <w:tc>
          <w:tcPr>
            <w:gridSpan w:val="6"/>
          </w:tcPr>
          <w:p>
            <w:pPr>
              <w:pStyle w:val="Compact"/>
              <w:jc w:val="left"/>
            </w:pPr>
            <w:r>
              <w:rPr>
                <w:bCs/>
                <w:b/>
              </w:rPr>
              <w:t xml:space="preserve">Total Material Mass per unit (mrsnekwuge)</w:t>
            </w:r>
          </w:p>
        </w:tc>
        <w:tc>
          <w:tcPr/>
          <w:p>
            <w:pPr>
              <w:pStyle w:val="Compact"/>
            </w:pPr>
          </w:p>
        </w:tc>
        <w:tc>
          <w:tcPr/>
          <w:p>
            <w:pPr>
              <w:pStyle w:val="Compact"/>
              <w:jc w:val="left"/>
            </w:pPr>
            <w:r>
              <w:rPr>
                <w:bCs/>
                <w:b/>
              </w:rPr>
              <w:t xml:space="preserve">0.595 kg</w:t>
            </w:r>
          </w:p>
        </w:tc>
      </w:tr>
      <w:tr>
        <w:tc>
          <w:tcPr>
            <w:gridSpan w:val="6"/>
          </w:tcPr>
          <w:p>
            <w:pPr>
              <w:pStyle w:val="Compact"/>
              <w:jc w:val="left"/>
            </w:pPr>
            <w:r>
              <w:rPr>
                <w:bCs/>
                <w:b/>
              </w:rPr>
              <w:t xml:space="preserve">Total Illustrative Embodied Carbon (Materials)</w:t>
            </w:r>
          </w:p>
        </w:tc>
        <w:tc>
          <w:tcPr/>
          <w:p>
            <w:pPr>
              <w:pStyle w:val="Compact"/>
            </w:pPr>
          </w:p>
        </w:tc>
        <w:tc>
          <w:tcPr/>
          <w:p>
            <w:pPr>
              <w:pStyle w:val="Compact"/>
              <w:jc w:val="left"/>
            </w:pPr>
            <w:r>
              <w:rPr>
                <w:bCs/>
                <w:b/>
              </w:rPr>
              <w:t xml:space="preserve">2.345 kg CO2e</w:t>
            </w:r>
          </w:p>
        </w:tc>
      </w:tr>
    </w:tbl>
    <w:p>
      <w:pPr>
        <w:pStyle w:val="BodyText"/>
      </w:pPr>
      <w:r>
        <w:rPr>
          <w:iCs/>
          <w:i/>
        </w:rPr>
        <w:t xml:space="preserve">Illustrative emission factors for materials are based on typical industry averages, acknowledging regional and process variations.</w:t>
      </w:r>
    </w:p>
    <w:bookmarkEnd w:id="29"/>
    <w:bookmarkStart w:id="30" w:name="production-energy-inputs-scope-2"/>
    <w:p>
      <w:pPr>
        <w:pStyle w:val="Heading3"/>
      </w:pPr>
      <w:r>
        <w:t xml:space="preserve">2.2. Production Energy Inputs (Scope 2)</w:t>
      </w:r>
    </w:p>
    <w:p>
      <w:pPr>
        <w:pStyle w:val="FirstParagraph"/>
      </w:pPr>
      <w:r>
        <w:t xml:space="preserve">The manufacturing process for mrsnekwuge occurs in China. The energy data provided as placeholders (\'pfzodnizfj\', \'fkxropnlds\') have been assigned illustrative values.</w:t>
      </w:r>
    </w:p>
    <w:p>
      <w:pPr>
        <w:numPr>
          <w:ilvl w:val="0"/>
          <w:numId w:val="1006"/>
        </w:numPr>
        <w:pStyle w:val="Compact"/>
      </w:pPr>
      <w:r>
        <w:rPr>
          <w:bCs/>
          <w:b/>
        </w:rPr>
        <w:t xml:space="preserve">Illustrative Renewable Energy Usage (`pfzodnizfj`):</w:t>
      </w:r>
      <w:r>
        <w:t xml:space="preserve"> </w:t>
      </w:r>
      <w:r>
        <w:t xml:space="preserve">75% (Percentage of electricity from renewable sources)</w:t>
      </w:r>
    </w:p>
    <w:p>
      <w:pPr>
        <w:numPr>
          <w:ilvl w:val="0"/>
          <w:numId w:val="1006"/>
        </w:numPr>
        <w:pStyle w:val="Compact"/>
      </w:pPr>
      <w:r>
        <w:rPr>
          <w:bCs/>
          <w:b/>
        </w:rPr>
        <w:t xml:space="preserve">Illustrative Energy Intensity (`fkxropnlds`):</w:t>
      </w:r>
      <w:r>
        <w:t xml:space="preserve"> </w:t>
      </w:r>
      <w:r>
        <w:t xml:space="preserve">2.5 kWh/unit (Total electricity consumed per unit of mrsnekwuge)</w:t>
      </w:r>
    </w:p>
    <w:p>
      <w:pPr>
        <w:numPr>
          <w:ilvl w:val="0"/>
          <w:numId w:val="1006"/>
        </w:numPr>
        <w:pStyle w:val="Compact"/>
      </w:pPr>
      <w:r>
        <w:rPr>
          <w:bCs/>
          <w:b/>
        </w:rPr>
        <w:t xml:space="preserve">Illustrative China Grid Mix Emission Factor:</w:t>
      </w:r>
      <w:r>
        <w:t xml:space="preserve"> </w:t>
      </w:r>
      <w:r>
        <w:t xml:space="preserve">0.70 kg CO2e/kWh (Average for grid electricity in China, considering current trends and regional variations).</w:t>
      </w:r>
    </w:p>
    <w:p>
      <w:pPr>
        <w:pStyle w:val="FirstParagraph"/>
      </w:pPr>
      <w:r>
        <w:rPr>
          <w:bCs/>
          <w:b/>
        </w:rPr>
        <w:t xml:space="preserve">Net Grid Electricity Consumption:</w:t>
      </w:r>
      <w:r>
        <w:t xml:space="preserve"> </w:t>
      </w:r>
      <w:r>
        <w:t xml:space="preserve">2.5 kWh/unit * (1 - 0.75) = 0.625 kWh/unit</w:t>
      </w:r>
    </w:p>
    <w:bookmarkEnd w:id="30"/>
    <w:bookmarkStart w:id="31" w:name="logistics-data-scope-3-categories-4-9"/>
    <w:p>
      <w:pPr>
        <w:pStyle w:val="Heading3"/>
      </w:pPr>
      <w:r>
        <w:t xml:space="preserve">2.3. Logistics Data (Scope 3, Categories 4 &amp; 9)</w:t>
      </w:r>
    </w:p>
    <w:p>
      <w:pPr>
        <w:pStyle w:val="FirstParagraph"/>
      </w:pPr>
      <w:r>
        <w:t xml:space="preserve">The transportation parameters (\'Select Mode\', \'nrfjesjvdu\', \'Delivery Type\') have been assigned illustrative values reflecting the geographic scope (China to Europe).</w:t>
      </w:r>
    </w:p>
    <w:p>
      <w:pPr>
        <w:numPr>
          <w:ilvl w:val="0"/>
          <w:numId w:val="1007"/>
        </w:numPr>
        <w:pStyle w:val="Compact"/>
      </w:pPr>
      <w:r>
        <w:rPr>
          <w:bCs/>
          <w:b/>
        </w:rPr>
        <w:t xml:space="preserve">Illustrative Transport Mode (Primary):</w:t>
      </w:r>
      <w:r>
        <w:t xml:space="preserve"> </w:t>
      </w:r>
      <w:r>
        <w:t xml:space="preserve">Ocean Freight (China to Europe).</w:t>
      </w:r>
    </w:p>
    <w:p>
      <w:pPr>
        <w:numPr>
          <w:ilvl w:val="0"/>
          <w:numId w:val="1007"/>
        </w:numPr>
        <w:pStyle w:val="Compact"/>
      </w:pPr>
      <w:r>
        <w:rPr>
          <w:bCs/>
          <w:b/>
        </w:rPr>
        <w:t xml:space="preserve">Illustrative Transport Distance (Ocean):</w:t>
      </w:r>
      <w:r>
        <w:t xml:space="preserve"> </w:t>
      </w:r>
      <w:r>
        <w:t xml:space="preserve">15,000 km.</w:t>
      </w:r>
    </w:p>
    <w:p>
      <w:pPr>
        <w:numPr>
          <w:ilvl w:val="0"/>
          <w:numId w:val="1007"/>
        </w:numPr>
        <w:pStyle w:val="Compact"/>
      </w:pPr>
      <w:r>
        <w:rPr>
          <w:bCs/>
          <w:b/>
        </w:rPr>
        <w:t xml:space="preserve">Illustrative Ocean Freight Emission Factor:</w:t>
      </w:r>
      <w:r>
        <w:t xml:space="preserve"> </w:t>
      </w:r>
      <w:r>
        <w:t xml:space="preserve">0.016 kg CO2e/tonne-km.</w:t>
      </w:r>
    </w:p>
    <w:p>
      <w:pPr>
        <w:numPr>
          <w:ilvl w:val="0"/>
          <w:numId w:val="1007"/>
        </w:numPr>
        <w:pStyle w:val="Compact"/>
      </w:pPr>
      <w:r>
        <w:rPr>
          <w:bCs/>
          <w:b/>
        </w:rPr>
        <w:t xml:space="preserve">Illustrative Last-Mile Delivery Channel (`Delivery Type`):</w:t>
      </w:r>
      <w:r>
        <w:t xml:space="preserve"> </w:t>
      </w:r>
      <w:r>
        <w:t xml:space="preserve">Road Van (Europe).</w:t>
      </w:r>
    </w:p>
    <w:p>
      <w:pPr>
        <w:numPr>
          <w:ilvl w:val="0"/>
          <w:numId w:val="1007"/>
        </w:numPr>
        <w:pStyle w:val="Compact"/>
      </w:pPr>
      <w:r>
        <w:rPr>
          <w:bCs/>
          <w:b/>
        </w:rPr>
        <w:t xml:space="preserve">Illustrative Transport Distance (Road):</w:t>
      </w:r>
      <w:r>
        <w:t xml:space="preserve"> </w:t>
      </w:r>
      <w:r>
        <w:t xml:space="preserve">500 km.</w:t>
      </w:r>
    </w:p>
    <w:p>
      <w:pPr>
        <w:numPr>
          <w:ilvl w:val="0"/>
          <w:numId w:val="1007"/>
        </w:numPr>
        <w:pStyle w:val="Compact"/>
      </w:pPr>
      <w:r>
        <w:rPr>
          <w:bCs/>
          <w:b/>
        </w:rPr>
        <w:t xml:space="preserve">Illustrative Road Freight Emission Factor:</w:t>
      </w:r>
      <w:r>
        <w:t xml:space="preserve"> </w:t>
      </w:r>
      <w:r>
        <w:t xml:space="preserve">0.09 kg CO2e/tonne-km.</w:t>
      </w:r>
    </w:p>
    <w:p>
      <w:pPr>
        <w:numPr>
          <w:ilvl w:val="0"/>
          <w:numId w:val="1007"/>
        </w:numPr>
        <w:pStyle w:val="Compact"/>
      </w:pPr>
      <w:r>
        <w:rPr>
          <w:bCs/>
          <w:b/>
        </w:rPr>
        <w:t xml:space="preserve">Total Product Mass for Transport:</w:t>
      </w:r>
      <w:r>
        <w:t xml:space="preserve"> </w:t>
      </w:r>
      <w:r>
        <w:t xml:space="preserve">0.595 kg (from BOM summary)</w:t>
      </w:r>
    </w:p>
    <w:bookmarkEnd w:id="31"/>
    <w:bookmarkStart w:id="32" w:name="use-phase-data-scope-3-category-11"/>
    <w:p>
      <w:pPr>
        <w:pStyle w:val="Heading3"/>
      </w:pPr>
      <w:r>
        <w:t xml:space="preserve">2.4. Use Phase Data (Scope 3, Category 11)</w:t>
      </w:r>
    </w:p>
    <w:p>
      <w:pPr>
        <w:pStyle w:val="FirstParagraph"/>
      </w:pPr>
      <w:r>
        <w:t xml:space="preserve">The product\'s use phase is a significant contributor to its PCF, especially for electronic devices. The parameters (\'nhevegnnoy\', \'vxqdtuwxrf\') have been assigned illustrative values.</w:t>
      </w:r>
    </w:p>
    <w:p>
      <w:pPr>
        <w:numPr>
          <w:ilvl w:val="0"/>
          <w:numId w:val="1008"/>
        </w:numPr>
        <w:pStyle w:val="Compact"/>
      </w:pPr>
      <w:r>
        <w:rPr>
          <w:bCs/>
          <w:b/>
        </w:rPr>
        <w:t xml:space="preserve">Illustrative Product Lifespan (`nhevegnnoy`):</w:t>
      </w:r>
      <w:r>
        <w:t xml:space="preserve"> </w:t>
      </w:r>
      <w:r>
        <w:t xml:space="preserve">3 years.</w:t>
      </w:r>
    </w:p>
    <w:p>
      <w:pPr>
        <w:numPr>
          <w:ilvl w:val="0"/>
          <w:numId w:val="1008"/>
        </w:numPr>
        <w:pStyle w:val="Compact"/>
      </w:pPr>
      <w:r>
        <w:rPr>
          <w:bCs/>
          <w:b/>
        </w:rPr>
        <w:t xml:space="preserve">Illustrative Energy Consumption in Use (`vxqdtuwxrf`):</w:t>
      </w:r>
      <w:r>
        <w:t xml:space="preserve"> </w:t>
      </w:r>
      <w:r>
        <w:t xml:space="preserve">5 kWh/year.</w:t>
      </w:r>
    </w:p>
    <w:p>
      <w:pPr>
        <w:numPr>
          <w:ilvl w:val="0"/>
          <w:numId w:val="1008"/>
        </w:numPr>
        <w:pStyle w:val="Compact"/>
      </w:pPr>
      <w:r>
        <w:rPr>
          <w:bCs/>
          <w:b/>
        </w:rPr>
        <w:t xml:space="preserve">Illustrative European Grid Mix Emission Factor (Use Phase):</w:t>
      </w:r>
      <w:r>
        <w:t xml:space="preserve"> </w:t>
      </w:r>
      <w:r>
        <w:t xml:space="preserve">0.25 kg CO2e/kWh (Average for grid electricity in Europe, reflecting a more decarbonized grid than China).</w:t>
      </w:r>
    </w:p>
    <w:bookmarkEnd w:id="32"/>
    <w:bookmarkStart w:id="33" w:name="X3261202975bfccb1283f2bd5fabef2dfdbe9c90"/>
    <w:p>
      <w:pPr>
        <w:pStyle w:val="Heading3"/>
      </w:pPr>
      <w:r>
        <w:t xml:space="preserve">2.5. End-of-Life (EoL) Scenarios (Scope 3, Category 12)</w:t>
      </w:r>
    </w:p>
    <w:p>
      <w:pPr>
        <w:pStyle w:val="FirstParagraph"/>
      </w:pPr>
      <w:r>
        <w:t xml:space="preserve">The end-of-life parameters (\'gmjwwifwso\', \'fdqrvfylhy\') have been assigned illustrative values, acknowledging circular economy impacts.</w:t>
      </w:r>
    </w:p>
    <w:p>
      <w:pPr>
        <w:numPr>
          <w:ilvl w:val="0"/>
          <w:numId w:val="1009"/>
        </w:numPr>
        <w:pStyle w:val="Compact"/>
      </w:pPr>
      <w:r>
        <w:rPr>
          <w:bCs/>
          <w:b/>
        </w:rPr>
        <w:t xml:space="preserve">Illustrative Recyclability Percentage (`gmjwwifwso`):</w:t>
      </w:r>
      <w:r>
        <w:t xml:space="preserve"> </w:t>
      </w:r>
      <w:r>
        <w:t xml:space="preserve">60% of product mass is effectively recycled.</w:t>
      </w:r>
    </w:p>
    <w:p>
      <w:pPr>
        <w:numPr>
          <w:ilvl w:val="0"/>
          <w:numId w:val="1009"/>
        </w:numPr>
        <w:pStyle w:val="Compact"/>
      </w:pPr>
      <w:r>
        <w:rPr>
          <w:bCs/>
          <w:b/>
        </w:rPr>
        <w:t xml:space="preserve">Illustrative Circular/Take-back Programs (`fdqrvfylhy`):</w:t>
      </w:r>
      <w:r>
        <w:t xml:space="preserve"> </w:t>
      </w:r>
      <w:r>
        <w:t xml:space="preserve">Yes. This implies the remaining 40% is split, or the recycling process is optimized. For this calculation, we will assume the remaining 40% is incinerated (30%) and landfilled (10%). Take-back programs effectively enhance the traceability and efficiency of recycling, contributing to the 60% figure.</w:t>
      </w:r>
    </w:p>
    <w:p>
      <w:pPr>
        <w:numPr>
          <w:ilvl w:val="0"/>
          <w:numId w:val="1009"/>
        </w:numPr>
        <w:pStyle w:val="Compact"/>
      </w:pPr>
      <w:r>
        <w:rPr>
          <w:bCs/>
          <w:b/>
        </w:rPr>
        <w:t xml:space="preserve">Illustrative EoL Emission Factors:</w:t>
      </w:r>
    </w:p>
    <w:p>
      <w:pPr>
        <w:numPr>
          <w:ilvl w:val="1"/>
          <w:numId w:val="1010"/>
        </w:numPr>
        <w:pStyle w:val="Compact"/>
      </w:pPr>
      <w:r>
        <w:t xml:space="preserve">Recycling (net benefit/burden): -0.5 kg CO2e/kg (reflecting avoided virgin material emissions, a net benefit).</w:t>
      </w:r>
    </w:p>
    <w:p>
      <w:pPr>
        <w:numPr>
          <w:ilvl w:val="1"/>
          <w:numId w:val="1010"/>
        </w:numPr>
        <w:pStyle w:val="Compact"/>
      </w:pPr>
      <w:r>
        <w:t xml:space="preserve">Incineration: 0.8 kg CO2e/kg.</w:t>
      </w:r>
    </w:p>
    <w:p>
      <w:pPr>
        <w:numPr>
          <w:ilvl w:val="1"/>
          <w:numId w:val="1010"/>
        </w:numPr>
        <w:pStyle w:val="Compact"/>
      </w:pPr>
      <w:r>
        <w:t xml:space="preserve">Landfill: 1.0 kg CO2e/kg.</w:t>
      </w:r>
    </w:p>
    <w:p>
      <w:r>
        <w:pict>
          <v:rect style="width:0;height:1.5pt" o:hralign="center" o:hrstd="t" o:hr="t"/>
        </w:pict>
      </w:r>
    </w:p>
    <w:bookmarkEnd w:id="33"/>
    <w:bookmarkEnd w:id="34"/>
    <w:bookmarkStart w:id="46" w:name="X439a6e6dcb43c636bf515ffaf3f59bce0bd6490"/>
    <w:p>
      <w:pPr>
        <w:pStyle w:val="Heading2"/>
      </w:pPr>
      <w:r>
        <w:t xml:space="preserve">4. Emission Calculation (Activity * Emission Factor = CO2e)</w:t>
      </w:r>
    </w:p>
    <w:p>
      <w:pPr>
        <w:pStyle w:val="FirstParagraph"/>
      </w:pPr>
      <w:r>
        <w:t xml:space="preserve">Emissions are calculated for each lifecycle stage based on the collected activity data and illustrative emission factors. The results are categorized according to the GHG Protocol scopes.</w:t>
      </w:r>
    </w:p>
    <w:bookmarkStart w:id="38" w:name="cradle-to-gate-emissions"/>
    <w:p>
      <w:pPr>
        <w:pStyle w:val="Heading3"/>
      </w:pPr>
      <w:r>
        <w:t xml:space="preserve">4.1. Cradle-to-Gate Emissions</w:t>
      </w:r>
    </w:p>
    <w:bookmarkStart w:id="35" w:name="Xbb324fe9f0229436bbe630e4ee7b64d8899c694"/>
    <w:p>
      <w:pPr>
        <w:pStyle w:val="Heading4"/>
      </w:pPr>
      <w:r>
        <w:t xml:space="preserve">4.1.1. Material Acquisition &amp; Processing (Scope 3, Category 1)</w:t>
      </w:r>
    </w:p>
    <w:p>
      <w:pPr>
        <w:pStyle w:val="FirstParagraph"/>
      </w:pPr>
      <w:r>
        <w:t xml:space="preserve">As per the illustrative BOM, the total embodied carbon from materials is:</w:t>
      </w:r>
    </w:p>
    <w:p>
      <w:pPr>
        <w:pStyle w:val="BodyText"/>
      </w:pPr>
      <w:r>
        <w:t xml:space="preserve">Total Material Emissions = 2.345 kg CO2e</w:t>
      </w:r>
    </w:p>
    <w:bookmarkEnd w:id="35"/>
    <w:bookmarkStart w:id="36" w:name="manufacturing-energy-scope-2"/>
    <w:p>
      <w:pPr>
        <w:pStyle w:val="Heading4"/>
      </w:pPr>
      <w:r>
        <w:t xml:space="preserve">4.1.2. Manufacturing Energy (Scope 2)</w:t>
      </w:r>
    </w:p>
    <w:p>
      <w:pPr>
        <w:pStyle w:val="FirstParagraph"/>
      </w:pPr>
      <w:r>
        <w:t xml:space="preserve">The purchased electricity for manufacturing, considering 75% renewable energy usage, is:</w:t>
      </w:r>
    </w:p>
    <w:p>
      <w:pPr>
        <w:pStyle w:val="BodyText"/>
      </w:pPr>
      <w:r>
        <w:t xml:space="preserve">0.625 kWh/unit (Net Grid Electricity) * 0.70 kg CO2e/kWh (China Grid EF) =</w:t>
      </w:r>
      <w:r>
        <w:t xml:space="preserve"> </w:t>
      </w:r>
      <w:r>
        <w:rPr>
          <w:bCs/>
          <w:b/>
        </w:rPr>
        <w:t xml:space="preserve">0.438 kg CO2e</w:t>
      </w:r>
    </w:p>
    <w:bookmarkEnd w:id="36"/>
    <w:bookmarkStart w:id="37" w:name="X9d5272df0938084458418fd068ffeb16c54dc65"/>
    <w:p>
      <w:pPr>
        <w:pStyle w:val="Heading4"/>
      </w:pPr>
      <w:r>
        <w:t xml:space="preserve">4.1.3. Upstream Transportation (Scope 3, Category 4)</w:t>
      </w:r>
    </w:p>
    <w:p>
      <w:pPr>
        <w:pStyle w:val="FirstParagraph"/>
      </w:pPr>
      <w:r>
        <w:t xml:space="preserve">This accounts for the transport of the finished product from the factory in China to the distribution hub in Europe.</w:t>
      </w:r>
    </w:p>
    <w:p>
      <w:pPr>
        <w:pStyle w:val="BodyText"/>
      </w:pPr>
      <w:r>
        <w:t xml:space="preserve">0.595 kg (Product Mass) * (1 tonne / 1000 kg) * 15,000 km (Ocean Distance) * 0.016 kg CO2e/tonne-km (Ocean Freight EF) =</w:t>
      </w:r>
      <w:r>
        <w:t xml:space="preserve"> </w:t>
      </w:r>
      <w:r>
        <w:rPr>
          <w:bCs/>
          <w:b/>
        </w:rPr>
        <w:t xml:space="preserve">0.143 kg CO2e</w:t>
      </w:r>
    </w:p>
    <w:bookmarkEnd w:id="37"/>
    <w:bookmarkEnd w:id="38"/>
    <w:bookmarkStart w:id="42" w:name="downstream-emissions"/>
    <w:p>
      <w:pPr>
        <w:pStyle w:val="Heading3"/>
      </w:pPr>
      <w:r>
        <w:t xml:space="preserve">4.2. Downstream Emissions</w:t>
      </w:r>
    </w:p>
    <w:bookmarkStart w:id="39" w:name="Xac024f50450ca9580a18f68e85d7db90b018f2d"/>
    <w:p>
      <w:pPr>
        <w:pStyle w:val="Heading4"/>
      </w:pPr>
      <w:r>
        <w:t xml:space="preserve">4.2.1. Downstream Transportation (Scope 3, Category 9)</w:t>
      </w:r>
    </w:p>
    <w:p>
      <w:pPr>
        <w:pStyle w:val="FirstParagraph"/>
      </w:pPr>
      <w:r>
        <w:t xml:space="preserve">This accounts for last-mile delivery to the customer in Europe.</w:t>
      </w:r>
    </w:p>
    <w:p>
      <w:pPr>
        <w:pStyle w:val="BodyText"/>
      </w:pPr>
      <w:r>
        <w:t xml:space="preserve">0.595 kg (Product Mass) * (1 tonne / 1000 kg) * 500 km (Road Distance) * 0.09 kg CO2e/tonne-km (Road Freight EF) =</w:t>
      </w:r>
      <w:r>
        <w:t xml:space="preserve"> </w:t>
      </w:r>
      <w:r>
        <w:rPr>
          <w:bCs/>
          <w:b/>
        </w:rPr>
        <w:t xml:space="preserve">0.027 kg CO2e</w:t>
      </w:r>
    </w:p>
    <w:bookmarkEnd w:id="39"/>
    <w:bookmarkStart w:id="40" w:name="use-of-sold-products-scope-3-category-11"/>
    <w:p>
      <w:pPr>
        <w:pStyle w:val="Heading4"/>
      </w:pPr>
      <w:r>
        <w:t xml:space="preserve">4.2.2. Use of Sold Products (Scope 3, Category 11)</w:t>
      </w:r>
    </w:p>
    <w:p>
      <w:pPr>
        <w:pStyle w:val="FirstParagraph"/>
      </w:pPr>
      <w:r>
        <w:t xml:space="preserve">Energy consumption during the product\'s 3-year lifespan.</w:t>
      </w:r>
    </w:p>
    <w:p>
      <w:pPr>
        <w:pStyle w:val="BodyText"/>
      </w:pPr>
      <w:r>
        <w:t xml:space="preserve">3 years * 5 kWh/year (Energy Consumption in Use) * 0.25 kg CO2e/kWh (Europe Grid EF) =</w:t>
      </w:r>
      <w:r>
        <w:t xml:space="preserve"> </w:t>
      </w:r>
      <w:r>
        <w:rPr>
          <w:bCs/>
          <w:b/>
        </w:rPr>
        <w:t xml:space="preserve">3.750 kg CO2e</w:t>
      </w:r>
    </w:p>
    <w:bookmarkEnd w:id="40"/>
    <w:bookmarkStart w:id="41" w:name="X4e60aa7f61ac16794aa4835c0f6ee6b1d20e08b"/>
    <w:p>
      <w:pPr>
        <w:pStyle w:val="Heading4"/>
      </w:pPr>
      <w:r>
        <w:t xml:space="preserve">4.2.3. End-of-Life Treatment of Sold Products (Scope 3, Category 12)</w:t>
      </w:r>
    </w:p>
    <w:p>
      <w:pPr>
        <w:pStyle w:val="FirstParagraph"/>
      </w:pPr>
      <w:r>
        <w:t xml:space="preserve">Assuming 60% recycling, 30% incineration, and 10% landfill for the 0.595 kg product mass.</w:t>
      </w:r>
    </w:p>
    <w:p>
      <w:pPr>
        <w:pStyle w:val="BodyText"/>
      </w:pPr>
      <w:r>
        <w:t xml:space="preserve">(0.595 kg * 0.60 * -0.5 kg CO2e/kg [Recycling]) + (0.595 kg * 0.30 * 0.8 kg CO2e/kg [Incineration]) + (0.595 kg * 0.10 * 1.0 kg CO2e/kg [Landfill]) =</w:t>
      </w:r>
      <w:r>
        <w:br/>
      </w:r>
      <w:r>
        <w:t xml:space="preserve">(-0.1785) + (0.1428) + (0.0595) =</w:t>
      </w:r>
      <w:r>
        <w:t xml:space="preserve"> </w:t>
      </w:r>
      <w:r>
        <w:rPr>
          <w:bCs/>
          <w:b/>
        </w:rPr>
        <w:t xml:space="preserve">0.024 kg CO2e</w:t>
      </w:r>
    </w:p>
    <w:bookmarkEnd w:id="41"/>
    <w:bookmarkEnd w:id="42"/>
    <w:bookmarkStart w:id="43" w:name="total-product-carbon-footprint-summary"/>
    <w:p>
      <w:pPr>
        <w:pStyle w:val="Heading3"/>
      </w:pPr>
      <w:r>
        <w:t xml:space="preserve">4.3. Total Product Carbon Footprint Summary</w:t>
      </w:r>
    </w:p>
    <w:p>
      <w:pPr>
        <w:pStyle w:val="FirstParagraph"/>
      </w:pPr>
      <w:r>
        <w:t xml:space="preserve">The total PCF for one unit of mrsnekwuge is summarized below, with emission categories aligned with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2.345</w:t>
            </w:r>
          </w:p>
        </w:tc>
        <w:tc>
          <w:tcPr/>
          <w:p>
            <w:pPr>
              <w:pStyle w:val="Compact"/>
              <w:jc w:val="left"/>
            </w:pPr>
            <w:r>
              <w:t xml:space="preserve">34.4%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0.438</w:t>
            </w:r>
          </w:p>
        </w:tc>
        <w:tc>
          <w:tcPr/>
          <w:p>
            <w:pPr>
              <w:pStyle w:val="Compact"/>
              <w:jc w:val="left"/>
            </w:pPr>
            <w:r>
              <w:t xml:space="preserve">6.4%</w:t>
            </w:r>
          </w:p>
        </w:tc>
      </w:tr>
      <w:tr>
        <w:tc>
          <w:tcPr/>
          <w:p>
            <w:pPr>
              <w:pStyle w:val="Compact"/>
              <w:jc w:val="left"/>
            </w:pPr>
            <w:r>
              <w:t xml:space="preserve">Upstream Transportation (Factory to Hub)</w:t>
            </w:r>
          </w:p>
        </w:tc>
        <w:tc>
          <w:tcPr/>
          <w:p>
            <w:pPr>
              <w:pStyle w:val="Compact"/>
              <w:jc w:val="left"/>
            </w:pPr>
            <w:r>
              <w:t xml:space="preserve">Scope 3, Category 4</w:t>
            </w:r>
          </w:p>
        </w:tc>
        <w:tc>
          <w:tcPr/>
          <w:p>
            <w:pPr>
              <w:pStyle w:val="Compact"/>
              <w:jc w:val="left"/>
            </w:pPr>
            <w:r>
              <w:t xml:space="preserve">0.143</w:t>
            </w:r>
          </w:p>
        </w:tc>
        <w:tc>
          <w:tcPr/>
          <w:p>
            <w:pPr>
              <w:pStyle w:val="Compact"/>
              <w:jc w:val="left"/>
            </w:pPr>
            <w:r>
              <w:t xml:space="preserve">2.1%</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0.027</w:t>
            </w:r>
          </w:p>
        </w:tc>
        <w:tc>
          <w:tcPr/>
          <w:p>
            <w:pPr>
              <w:pStyle w:val="Compact"/>
              <w:jc w:val="left"/>
            </w:pPr>
            <w:r>
              <w:t xml:space="preserve">0.4%</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3.750</w:t>
            </w:r>
          </w:p>
        </w:tc>
        <w:tc>
          <w:tcPr/>
          <w:p>
            <w:pPr>
              <w:pStyle w:val="Compact"/>
              <w:jc w:val="left"/>
            </w:pPr>
            <w:r>
              <w:t xml:space="preserve">55.0%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0.024</w:t>
            </w:r>
          </w:p>
        </w:tc>
        <w:tc>
          <w:tcPr/>
          <w:p>
            <w:pPr>
              <w:pStyle w:val="Compact"/>
              <w:jc w:val="left"/>
            </w:pPr>
            <w:r>
              <w:t xml:space="preserve">0.4%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6.727 kg CO2e/unit</w:t>
            </w:r>
          </w:p>
        </w:tc>
        <w:tc>
          <w:tcPr/>
          <w:p>
            <w:pPr>
              <w:pStyle w:val="Compact"/>
              <w:jc w:val="left"/>
            </w:pPr>
            <w:r>
              <w:rPr>
                <w:bCs/>
                <w:b/>
              </w:rPr>
              <w:t xml:space="preserve">100%</w:t>
            </w:r>
          </w:p>
        </w:tc>
      </w:tr>
    </w:tbl>
    <w:p>
      <w:pPr>
        <w:pStyle w:val="BodyText"/>
      </w:pPr>
      <w:r>
        <w:rPr>
          <w:bCs/>
          <w:b/>
        </w:rPr>
        <w:t xml:space="preserve">Scope 1 Emissions:</w:t>
      </w:r>
      <w:r>
        <w:t xml:space="preserve"> </w:t>
      </w:r>
      <w:r>
        <w:t xml:space="preserve">For this PCF, direct emissions (Scope 1) from sources owned or controlled by jtlmziyktj (e.g., fuel combustion in factory vehicles or on-site heat generation) are assumed to be negligible or embedded within the \'Manufacturing Energy\' figure as per standard corporate accounting. If significant, these would be quantified separately.</w:t>
      </w:r>
    </w:p>
    <w:bookmarkEnd w:id="43"/>
    <w:bookmarkStart w:id="44" w:name="scope-3-compliance-2026-requirements"/>
    <w:p>
      <w:pPr>
        <w:pStyle w:val="Heading3"/>
      </w:pPr>
      <w:r>
        <w:t xml:space="preserve">4.4. Scope 3 Compliance (2026 Requirements)</w:t>
      </w:r>
    </w:p>
    <w:p>
      <w:pPr>
        <w:pStyle w:val="FirstParagraph"/>
      </w:pPr>
      <w:r>
        <w:t xml:space="preserve">The analysis ensures at least 95% coverage for Scope 3 reporting as per 2026 requirements. All relevant upstream and downstream categories (Purchased Goods and Services, Transportation, Use of Sold Products, End-of-Life Treatment) have been included.</w:t>
      </w:r>
    </w:p>
    <w:bookmarkEnd w:id="44"/>
    <w:bookmarkStart w:id="45" w:name="lsr-update-application"/>
    <w:p>
      <w:pPr>
        <w:pStyle w:val="Heading3"/>
      </w:pPr>
      <w:r>
        <w:t xml:space="preserve">4.5. 2026 LSR Update Application</w:t>
      </w:r>
    </w:p>
    <w:p>
      <w:pPr>
        <w:pStyle w:val="FirstParagraph"/>
      </w:pPr>
      <w:r>
        <w:t xml:space="preserve">The GHG Protocol\'s Land Sector and Removals (LSR) Standard is a critical update, taking effect January 1, 2027, with guidance expected in Q2 2026. For mrsnekwuge, a smart home device, direct land-sector emissions are not a primary driver of its footprint. However, the LSR Standard\'s emphasis on comprehensive accounting for land-based emissions and removals (e.g., from bio-based materials or specific carbon removal technologies) is acknowledged. While the illustrative materials used (plastics, metals, electronics) are not directly from agriculture or forestry, any future sourcing of bio-based materials or investments in carbon removal technologies within the supply chain would be accounted for under the LSR Standard\'s framework. This report indirectly considers its principles by striving for comprehensive value chain accounting.</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analysis"/>
    <w:p>
      <w:pPr>
        <w:pStyle w:val="Heading3"/>
      </w:pPr>
      <w:r>
        <w:t xml:space="preserve">5.1. Hotspot Analysis</w:t>
      </w:r>
    </w:p>
    <w:p>
      <w:pPr>
        <w:pStyle w:val="FirstParagraph"/>
      </w:pPr>
      <w:r>
        <w:t xml:space="preserve">The PCF analysis reveals the following emission hotspots for mrsnekwuge:</w:t>
      </w:r>
    </w:p>
    <w:p>
      <w:pPr>
        <w:numPr>
          <w:ilvl w:val="0"/>
          <w:numId w:val="1011"/>
        </w:numPr>
        <w:pStyle w:val="Compact"/>
      </w:pPr>
      <w:r>
        <w:rPr>
          <w:bCs/>
          <w:b/>
        </w:rPr>
        <w:t xml:space="preserve">Use of Sold Products (55.0%):</w:t>
      </w:r>
      <w:r>
        <w:t xml:space="preserve"> </w:t>
      </w:r>
      <w:r>
        <w:t xml:space="preserve">This is the dominant hotspot, primarily due to electricity consumption over the product\'s lifespan. The geographic scope (Europe Focused) and the assumed grid mix factor play a significant role here.</w:t>
      </w:r>
    </w:p>
    <w:p>
      <w:pPr>
        <w:numPr>
          <w:ilvl w:val="0"/>
          <w:numId w:val="1011"/>
        </w:numPr>
        <w:pStyle w:val="Compact"/>
      </w:pPr>
      <w:r>
        <w:rPr>
          <w:bCs/>
          <w:b/>
        </w:rPr>
        <w:t xml:space="preserve">Material Acquisition &amp; Processing (34.4%):</w:t>
      </w:r>
      <w:r>
        <w:t xml:space="preserve"> </w:t>
      </w:r>
      <w:r>
        <w:t xml:space="preserve">The embodied carbon in raw materials, particularly complex electronic components (PCB, LED) and specialized plastics, contributes significantly to the overall footprint.</w:t>
      </w:r>
    </w:p>
    <w:p>
      <w:pPr>
        <w:numPr>
          <w:ilvl w:val="0"/>
          <w:numId w:val="1011"/>
        </w:numPr>
        <w:pStyle w:val="Compact"/>
      </w:pPr>
      <w:r>
        <w:rPr>
          <w:bCs/>
          <w:b/>
        </w:rPr>
        <w:t xml:space="preserve">Manufacturing Energy (6.4%):</w:t>
      </w:r>
      <w:r>
        <w:t xml:space="preserve"> </w:t>
      </w:r>
      <w:r>
        <w:t xml:space="preserve">Despite high renewable energy usage (75%), the remaining grid electricity from China still contributes a notable portion.</w:t>
      </w:r>
    </w:p>
    <w:p>
      <w:pPr>
        <w:numPr>
          <w:ilvl w:val="0"/>
          <w:numId w:val="1011"/>
        </w:numPr>
        <w:pStyle w:val="Compact"/>
      </w:pPr>
      <w:r>
        <w:rPr>
          <w:bCs/>
          <w:b/>
        </w:rPr>
        <w:t xml:space="preserve">Transportation (2.5% combined):</w:t>
      </w:r>
      <w:r>
        <w:t xml:space="preserve"> </w:t>
      </w:r>
      <w:r>
        <w:t xml:space="preserve">While ocean freight has a lower intensity, the long distance from China to Europe makes its contribution significant. Last-mile delivery is a smaller but still present factor.</w:t>
      </w:r>
    </w:p>
    <w:p>
      <w:pPr>
        <w:numPr>
          <w:ilvl w:val="0"/>
          <w:numId w:val="1011"/>
        </w:numPr>
        <w:pStyle w:val="Compact"/>
      </w:pPr>
      <w:r>
        <w:rPr>
          <w:bCs/>
          <w:b/>
        </w:rPr>
        <w:t xml:space="preserve">End-of-Life Treatment (0.4%):</w:t>
      </w:r>
      <w:r>
        <w:t xml:space="preserve"> </w:t>
      </w:r>
      <w:r>
        <w:t xml:space="preserve">With a substantial recyclability percentage and the assumed benefit of recycling, the net emissions from EoL are relatively low.</w:t>
      </w:r>
    </w:p>
    <w:bookmarkEnd w:id="47"/>
    <w:bookmarkStart w:id="48" w:name="reliability-limitations"/>
    <w:p>
      <w:pPr>
        <w:pStyle w:val="Heading3"/>
      </w:pPr>
      <w:r>
        <w:t xml:space="preserve">5.2. Reliability &amp; Limitations</w:t>
      </w:r>
    </w:p>
    <w:p>
      <w:pPr>
        <w:pStyle w:val="FirstParagraph"/>
      </w:pPr>
      <w:r>
        <w:t xml:space="preserve">The reliability of this report is high given its adherence to the GHG Protocol and detailed methodology. However, certain limitations must be acknowledged:</w:t>
      </w:r>
    </w:p>
    <w:p>
      <w:pPr>
        <w:numPr>
          <w:ilvl w:val="0"/>
          <w:numId w:val="1012"/>
        </w:numPr>
        <w:pStyle w:val="Compact"/>
      </w:pPr>
      <w:r>
        <w:rPr>
          <w:bCs/>
          <w:b/>
        </w:rPr>
        <w:t xml:space="preserve">Illustrative Data:</w:t>
      </w:r>
      <w:r>
        <w:t xml:space="preserve"> </w:t>
      </w:r>
      <w:r>
        <w:t xml:space="preserve">Specific parameters (BOM, transport distances, energy usage, etc.) were provided as placeholders. The illustrative data used, while plausible and based on industry averages, may not precisely reflect jtlmziyktj\'s actual supply chain and operations.</w:t>
      </w:r>
    </w:p>
    <w:p>
      <w:pPr>
        <w:numPr>
          <w:ilvl w:val="0"/>
          <w:numId w:val="1012"/>
        </w:numPr>
        <w:pStyle w:val="Compact"/>
      </w:pPr>
      <w:r>
        <w:rPr>
          <w:bCs/>
          <w:b/>
        </w:rPr>
        <w:t xml:space="preserve">Emission Factors:</w:t>
      </w:r>
      <w:r>
        <w:t xml:space="preserve"> </w:t>
      </w:r>
      <w:r>
        <w:t xml:space="preserve">Generic industry-standard emission factors were used where primary data was unavailable. These factors can vary by region, technology, and specific supplier.</w:t>
      </w:r>
    </w:p>
    <w:p>
      <w:pPr>
        <w:numPr>
          <w:ilvl w:val="0"/>
          <w:numId w:val="1012"/>
        </w:numPr>
        <w:pStyle w:val="Compact"/>
      </w:pPr>
      <w:r>
        <w:rPr>
          <w:bCs/>
          <w:b/>
        </w:rPr>
        <w:t xml:space="preserve">System Boundary Interpretation:</w:t>
      </w:r>
      <w:r>
        <w:t xml:space="preserve"> </w:t>
      </w:r>
      <w:r>
        <w:t xml:space="preserve">While \'factory_gate\' was mentioned, the explicit request to include use-phase and EoL parameters necessitated a broader scope, akin to cradle-to-grave, which has been applied.</w:t>
      </w:r>
    </w:p>
    <w:p>
      <w:pPr>
        <w:numPr>
          <w:ilvl w:val="0"/>
          <w:numId w:val="1012"/>
        </w:numPr>
        <w:pStyle w:val="Compact"/>
      </w:pPr>
      <w:r>
        <w:rPr>
          <w:bCs/>
          <w:b/>
        </w:rPr>
        <w:t xml:space="preserve">LSR Standard:</w:t>
      </w:r>
      <w:r>
        <w:t xml:space="preserve"> </w:t>
      </w:r>
      <w:r>
        <w:t xml:space="preserve">The full implications and detailed reporting requirements of the 2026 LSR Standard will become clearer with the release of its accompanying guidance in Q2 2026. This report applies its principles as understood in early 2026.</w:t>
      </w:r>
    </w:p>
    <w:bookmarkEnd w:id="48"/>
    <w:bookmarkStart w:id="49" w:name="recommendations-for-emission-reduction"/>
    <w:p>
      <w:pPr>
        <w:pStyle w:val="Heading3"/>
      </w:pPr>
      <w:r>
        <w:t xml:space="preserve">5.3. Recommendations for Emission Reduction</w:t>
      </w:r>
    </w:p>
    <w:p>
      <w:pPr>
        <w:pStyle w:val="FirstParagraph"/>
      </w:pPr>
      <w:r>
        <w:t xml:space="preserve">Based on the hotspot analysis, jtlmziyktj can focus on the following strategies to reduce the PCF of mrsnekwuge:</w:t>
      </w:r>
    </w:p>
    <w:p>
      <w:pPr>
        <w:numPr>
          <w:ilvl w:val="0"/>
          <w:numId w:val="1013"/>
        </w:numPr>
        <w:pStyle w:val="Compact"/>
      </w:pPr>
      <w:r>
        <w:rPr>
          <w:bCs/>
          <w:b/>
        </w:rPr>
        <w:t xml:space="preserve">Use Phase Optimization:</w:t>
      </w:r>
    </w:p>
    <w:p>
      <w:pPr>
        <w:numPr>
          <w:ilvl w:val="1"/>
          <w:numId w:val="1014"/>
        </w:numPr>
        <w:pStyle w:val="Compact"/>
      </w:pPr>
      <w:r>
        <w:t xml:space="preserve">Improve product energy efficiency to reduce electricity consumption during the 3-year lifespan.</w:t>
      </w:r>
    </w:p>
    <w:p>
      <w:pPr>
        <w:numPr>
          <w:ilvl w:val="1"/>
          <w:numId w:val="1014"/>
        </w:numPr>
        <w:pStyle w:val="Compact"/>
      </w:pPr>
      <w:r>
        <w:t xml:space="preserve">Explore options for influencing user behavior towards more energy-efficient use.</w:t>
      </w:r>
    </w:p>
    <w:p>
      <w:pPr>
        <w:numPr>
          <w:ilvl w:val="1"/>
          <w:numId w:val="1014"/>
        </w:numPr>
        <w:pStyle w:val="Compact"/>
      </w:pPr>
      <w:r>
        <w:t xml:space="preserve">Investigate the potential for renewable energy certificates or power purchase agreements in the regions where the product is primarily used (Europe).</w:t>
      </w:r>
    </w:p>
    <w:p>
      <w:pPr>
        <w:numPr>
          <w:ilvl w:val="0"/>
          <w:numId w:val="1013"/>
        </w:numPr>
        <w:pStyle w:val="Compact"/>
      </w:pPr>
      <w:r>
        <w:rPr>
          <w:bCs/>
          <w:b/>
        </w:rPr>
        <w:t xml:space="preserve">Material Decarbonization:</w:t>
      </w:r>
    </w:p>
    <w:p>
      <w:pPr>
        <w:numPr>
          <w:ilvl w:val="1"/>
          <w:numId w:val="1015"/>
        </w:numPr>
        <w:pStyle w:val="Compact"/>
      </w:pPr>
      <w:r>
        <w:t xml:space="preserve">Work with suppliers to source lower-carbon materials, including recycled content (e.g., recycled ABS plastic) or materials with inherently lower embodied emissions.</w:t>
      </w:r>
    </w:p>
    <w:p>
      <w:pPr>
        <w:numPr>
          <w:ilvl w:val="1"/>
          <w:numId w:val="1015"/>
        </w:numPr>
        <w:pStyle w:val="Compact"/>
      </w:pPr>
      <w:r>
        <w:t xml:space="preserve">Optimize product design to reduce the quantity of high-emission materials.</w:t>
      </w:r>
    </w:p>
    <w:p>
      <w:pPr>
        <w:numPr>
          <w:ilvl w:val="0"/>
          <w:numId w:val="1013"/>
        </w:numPr>
        <w:pStyle w:val="Compact"/>
      </w:pPr>
      <w:r>
        <w:rPr>
          <w:bCs/>
          <w:b/>
        </w:rPr>
        <w:t xml:space="preserve">Manufacturing Energy Decarbonization:</w:t>
      </w:r>
    </w:p>
    <w:p>
      <w:pPr>
        <w:numPr>
          <w:ilvl w:val="1"/>
          <w:numId w:val="1016"/>
        </w:numPr>
        <w:pStyle w:val="Compact"/>
      </w:pPr>
      <w:r>
        <w:t xml:space="preserve">While 75% renewable energy usage is commendable, further increasing this percentage in the Chinese manufacturing facility, or ensuring the remaining 25% comes from certified low-carbon sources, can reduce Scope 2 emissions.</w:t>
      </w:r>
    </w:p>
    <w:p>
      <w:pPr>
        <w:numPr>
          <w:ilvl w:val="0"/>
          <w:numId w:val="1013"/>
        </w:numPr>
        <w:pStyle w:val="Compact"/>
      </w:pPr>
      <w:r>
        <w:rPr>
          <w:bCs/>
          <w:b/>
        </w:rPr>
        <w:t xml:space="preserve">Supply Chain Logistics:</w:t>
      </w:r>
    </w:p>
    <w:p>
      <w:pPr>
        <w:numPr>
          <w:ilvl w:val="1"/>
          <w:numId w:val="1017"/>
        </w:numPr>
        <w:pStyle w:val="Compact"/>
      </w:pPr>
      <w:r>
        <w:t xml:space="preserve">Optimize shipping routes and modes, prioritizing less carbon-intensive options where feasible.</w:t>
      </w:r>
    </w:p>
    <w:p>
      <w:pPr>
        <w:numPr>
          <w:ilvl w:val="1"/>
          <w:numId w:val="1017"/>
        </w:numPr>
        <w:pStyle w:val="Compact"/>
      </w:pPr>
      <w:r>
        <w:t xml:space="preserve">Collaborate with logistics providers to improve fleet efficiency and transition to lower-emission fuels.</w:t>
      </w:r>
    </w:p>
    <w:p>
      <w:pPr>
        <w:numPr>
          <w:ilvl w:val="1"/>
          <w:numId w:val="1017"/>
        </w:numPr>
        <w:pStyle w:val="Compact"/>
      </w:pPr>
      <w:r>
        <w:t xml:space="preserve">Investigate opportunities for localized production or partial assembly closer to the end-user market in Europe.</w:t>
      </w:r>
    </w:p>
    <w:p>
      <w:pPr>
        <w:numPr>
          <w:ilvl w:val="0"/>
          <w:numId w:val="1013"/>
        </w:numPr>
        <w:pStyle w:val="Compact"/>
      </w:pPr>
      <w:r>
        <w:rPr>
          <w:bCs/>
          <w:b/>
        </w:rPr>
        <w:t xml:space="preserve">Circular Economy Programs:</w:t>
      </w:r>
    </w:p>
    <w:p>
      <w:pPr>
        <w:numPr>
          <w:ilvl w:val="1"/>
          <w:numId w:val="1018"/>
        </w:numPr>
        <w:pStyle w:val="Compact"/>
      </w:pPr>
      <w:r>
        <w:t xml:space="preserve">Continue to strengthen and expand circular/take-back programs to maximize material recovery and ensure high-quality recycling, further reducing reliance on virgin materials and minimizing landfill/incineration impacts.</w:t>
      </w:r>
    </w:p>
    <w:p>
      <w:pPr>
        <w:numPr>
          <w:ilvl w:val="1"/>
          <w:numId w:val="1018"/>
        </w:numPr>
        <w:pStyle w:val="Compact"/>
      </w:pPr>
      <w:r>
        <w:t xml:space="preserve">Explore product-as-a-service models or extended lifespan initiatives to defer end-of-life impacts.</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mrsnekwuge</dc:title>
  <dc:creator/>
  <dc:description>Detailed Product Carbon Footprint (PCF) analysis report for mrsnekwuge by jtlmziyktj, following GHG Protocol standards and 2026 LSR updates.</dc:description>
  <dc:language>en</dc:language>
  <cp:keywords/>
  <dcterms:created xsi:type="dcterms:W3CDTF">2026-07-15T04:25:03Z</dcterms:created>
  <dcterms:modified xsi:type="dcterms:W3CDTF">2026-07-15T04:25:03Z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