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mrgrywxpgy</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mrgrywxpgy</w:t>
      </w:r>
    </w:p>
    <w:p>
      <w:pPr>
        <w:pStyle w:val="BodyText"/>
      </w:pPr>
      <w:r>
        <w:t xml:space="preserve">Company: uxsmjviyku</w:t>
      </w:r>
    </w:p>
    <w:p>
      <w:pPr>
        <w:pStyle w:val="BodyText"/>
      </w:pPr>
      <w:r>
        <w:t xml:space="preserve">Senior Sustainability Consultant: hxoiusgprf</w:t>
      </w:r>
    </w:p>
    <w:p>
      <w:pPr>
        <w:pStyle w:val="BodyText"/>
      </w:pPr>
      <w:r>
        <w:t xml:space="preserve">Accounting Standard: GHG Protocol</w:t>
      </w:r>
    </w:p>
    <w:p>
      <w:pPr>
        <w:pStyle w:val="BodyText"/>
      </w:pPr>
      <w:r>
        <w:t xml:space="preserve">Disclaimer: This report is generated based on available data and industry standards at the time of publication. While every effort has been made to ensure accuracy, the actual carbon footprint may vary depending on real-world operational changes, data availability, and evolving scientific understanding. This analysis provides an estimation to guide sustainability efforts.</w:t>
      </w:r>
    </w:p>
    <w:bookmarkEnd w:id="20"/>
    <w:bookmarkStart w:id="50" w:name="X69dd352dfff39292786a32e286f3d385cd11dc5"/>
    <w:p>
      <w:pPr>
        <w:pStyle w:val="Heading1"/>
      </w:pPr>
      <w:r>
        <w:t xml:space="preserve">Product Carbon Footprint Analysis: mrgrywxpgy</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hxoiusgprf</w:t>
      </w:r>
    </w:p>
    <w:p>
      <w:pPr>
        <w:pStyle w:val="BodyText"/>
      </w:pPr>
      <w:r>
        <w:rPr>
          <w:bCs/>
          <w:b/>
        </w:rPr>
        <w:t xml:space="preserve">Company Name:</w:t>
      </w:r>
      <w:r>
        <w:t xml:space="preserve"> </w:t>
      </w:r>
      <w:r>
        <w:t xml:space="preserve">uxsmjviyku</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\'mrgrywxpgy\', manufactured by uxsmjviyku, conducted by Senior Sustainability Consultant hxoiusgprf. The analysis adheres to the Greenhouse Gas (GHG) Protocol standards, encompassing a cradle-to-grave system boundary. The total carbon footprint of mrgrywxpgy is estimated to be</w:t>
      </w:r>
      <w:r>
        <w:t xml:space="preserve"> </w:t>
      </w:r>
      <w:r>
        <w:rPr>
          <w:bCs/>
          <w:b/>
        </w:rPr>
        <w:t xml:space="preserve">[Calculated Total PCF] kg CO₂e per functional unit</w:t>
      </w:r>
      <w:r>
        <w:t xml:space="preserve">. The primary hotspots identified are [mention top 2-3 hotspots, e.g., \'materials acquisition and processing\' and \'use phase energy consumption\'], indicating key areas for targeted emission reduction strategies. This report provides a detailed breakdown of emissions across the product\'s lifecycle, from raw material extraction to end-of-life, to inform strategic decisions for decarbonization and enhanced sustainability.</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mrgrywxpgy follows the five-step methodology prescribed by the GHG Protocol, ensuring a comprehensive and standardized assessment of greenhouse gas (GHG) emissions throughout the product\'s lifecycle.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mrgrywxpgy</w:t>
      </w:r>
      <w:r>
        <w:t xml:space="preserve">. This unit serves as the reference basis for quantifying all relevant inputs and outputs throughout the product\'s life cycle.</w:t>
      </w:r>
    </w:p>
    <w:bookmarkEnd w:id="22"/>
    <w:bookmarkStart w:id="23" w:name="system-boundary"/>
    <w:p>
      <w:pPr>
        <w:pStyle w:val="Heading3"/>
      </w:pPr>
      <w:r>
        <w:t xml:space="preserve">1.2 System Boundary</w:t>
      </w:r>
    </w:p>
    <w:p>
      <w:pPr>
        <w:pStyle w:val="FirstParagraph"/>
      </w:pPr>
      <w:r>
        <w:t xml:space="preserve">The system boundary for this PCF analysis is \'factory_gate\' for primary production activities, but the overall assessment extends to a</w:t>
      </w:r>
      <w:r>
        <w:t xml:space="preserve"> </w:t>
      </w:r>
      <w:r>
        <w:rPr>
          <w:bCs/>
          <w:b/>
        </w:rPr>
        <w:t xml:space="preserve">cradle-to-grave</w:t>
      </w:r>
      <w:r>
        <w:t xml:space="preserve"> </w:t>
      </w:r>
      <w:r>
        <w:t xml:space="preserve">perspective as per the detailed parameters provided, encompassing all stages from raw material acquisition, manufacturing, transport, use phase, and end-of-life scenarios. This comprehensive approach captures the full environmental impact of the product.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the product is shipped to and primarily used in Europe, and end-of-life is managed there).</w:t>
      </w:r>
    </w:p>
    <w:bookmarkEnd w:id="24"/>
    <w:bookmarkStart w:id="25" w:name="accounting-standard-and-allocation"/>
    <w:p>
      <w:pPr>
        <w:pStyle w:val="Heading3"/>
      </w:pPr>
      <w:r>
        <w:t xml:space="preserve">1.4 Accounting Standard and Allocation</w:t>
      </w:r>
    </w:p>
    <w:p>
      <w:pPr>
        <w:pStyle w:val="FirstParagraph"/>
      </w:pPr>
      <w:r>
        <w:t xml:space="preserve">This PCF analysis is conducted in strict accordance with the</w:t>
      </w:r>
      <w:r>
        <w:t xml:space="preserve"> </w:t>
      </w:r>
      <w:r>
        <w:rPr>
          <w:bCs/>
          <w:b/>
        </w:rPr>
        <w:t xml:space="preserve">GHG Protocol</w:t>
      </w:r>
      <w:r>
        <w:t xml:space="preserve">, which categorizes emissions into Scope 1 (direct emissions), Scope 2 (indirect emissions from purchased energy), and Scope 3 (all other indirect emissions in the value chain). Allocation of emissions is performed consistently with GHG Protocol guidance, ensuring that impacts are attributed appropriately to the functional unit.</w:t>
      </w:r>
    </w:p>
    <w:p>
      <w:r>
        <w:pict>
          <v:rect style="width:0;height:1.5pt" o:hralign="center" o:hrstd="t" o:hr="t"/>
        </w:pict>
      </w:r>
    </w:p>
    <w:bookmarkEnd w:id="25"/>
    <w:bookmarkEnd w:id="26"/>
    <w:bookmarkStart w:id="28" w:name="X5c4f1babde60e279edceee15b145f0a0e623b85"/>
    <w:p>
      <w:pPr>
        <w:pStyle w:val="Heading2"/>
      </w:pPr>
      <w:r>
        <w:t xml:space="preserve">2. Lifecycle Mapping and Inventory Stages (LCI)</w:t>
      </w:r>
    </w:p>
    <w:p>
      <w:pPr>
        <w:pStyle w:val="FirstParagraph"/>
      </w:pPr>
      <w:r>
        <w:t xml:space="preserve">The lifecycle of mrgrywxpgy is mapped into distinct stages to systematically identify and quantify all relevant material and energy flows. This detailed inventory forms the basis for emission calculations.</w:t>
      </w:r>
    </w:p>
    <w:bookmarkStart w:id="27" w:name="stages-included"/>
    <w:p>
      <w:pPr>
        <w:pStyle w:val="Heading3"/>
      </w:pPr>
      <w:r>
        <w:t xml:space="preserve">2.1 Stages Included:</w:t>
      </w:r>
    </w:p>
    <w:p>
      <w:pPr>
        <w:numPr>
          <w:ilvl w:val="0"/>
          <w:numId w:val="1002"/>
        </w:numPr>
        <w:pStyle w:val="Compact"/>
      </w:pPr>
      <w:r>
        <w:rPr>
          <w:bCs/>
          <w:b/>
        </w:rPr>
        <w:t xml:space="preserve">Materials Acquisition and Pre-processing:</w:t>
      </w:r>
      <w:r>
        <w:t xml:space="preserve"> </w:t>
      </w:r>
      <w:r>
        <w:t xml:space="preserve">Extraction, processing, and refining of raw materials.</w:t>
      </w:r>
    </w:p>
    <w:p>
      <w:pPr>
        <w:numPr>
          <w:ilvl w:val="0"/>
          <w:numId w:val="1002"/>
        </w:numPr>
        <w:pStyle w:val="Compact"/>
      </w:pPr>
      <w:r>
        <w:rPr>
          <w:bCs/>
          <w:b/>
        </w:rPr>
        <w:t xml:space="preserve">Manufacturing/Production:</w:t>
      </w:r>
      <w:r>
        <w:t xml:space="preserve"> </w:t>
      </w:r>
      <w:r>
        <w:t xml:space="preserve">Transformation of raw materials into the final product at the factory in China.</w:t>
      </w:r>
    </w:p>
    <w:p>
      <w:pPr>
        <w:numPr>
          <w:ilvl w:val="0"/>
          <w:numId w:val="1002"/>
        </w:numPr>
        <w:pStyle w:val="Compact"/>
      </w:pPr>
      <w:r>
        <w:rPr>
          <w:bCs/>
          <w:b/>
        </w:rPr>
        <w:t xml:space="preserve">Transportation (Upstream &amp; Downstream):</w:t>
      </w:r>
      <w:r>
        <w:t xml:space="preserve"> </w:t>
      </w:r>
      <w:r>
        <w:t xml:space="preserve">Inbound logistics of materials to the factory, and outbound logistics of the finished product to the market, including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or recovery processes for the product and its components.</w:t>
      </w:r>
    </w:p>
    <w:p>
      <w:r>
        <w:pict>
          <v:rect style="width:0;height:1.5pt" o:hralign="center" o:hrstd="t" o:hr="t"/>
        </w:pict>
      </w:r>
    </w:p>
    <w:bookmarkEnd w:id="27"/>
    <w:bookmarkEnd w:id="28"/>
    <w:bookmarkStart w:id="34" w:name="X6411194581f9b767ffcb76e775f08bb775162b9"/>
    <w:p>
      <w:pPr>
        <w:pStyle w:val="Heading2"/>
      </w:pPr>
      <w:r>
        <w:t xml:space="preserve">3. Data Collection: Detailed Breakdown of Materials and Energy Inputs</w:t>
      </w:r>
    </w:p>
    <w:p>
      <w:pPr>
        <w:pStyle w:val="FirstParagraph"/>
      </w:pPr>
      <w:r>
        <w:t xml:space="preserve">Data collection involved gathering both primary data (where specified by parameters) and secondary data from industry-standard databases such as Ecoinvent and DEFRA for emission factors. The following tables detail the inputs for mrgrywxpgy.</w:t>
      </w:r>
    </w:p>
    <w:bookmarkStart w:id="29" w:name="X08d16517cbe8dc1c7f96b8b2ccc34ef9fab7ce9"/>
    <w:p>
      <w:pPr>
        <w:pStyle w:val="Heading3"/>
      </w:pPr>
      <w:r>
        <w:t xml:space="preserve">3.1 Detailed Bill of Materials (BOM) - (lfohkwrs)</w:t>
      </w:r>
    </w:p>
    <w:p>
      <w:pPr>
        <w:pStyle w:val="FirstParagraph"/>
      </w:pPr>
      <w:r>
        <w:t xml:space="preserve">The provided BOM data is used for high-accuracy material impact calculation. The \'Emission Factor\' values are directly applied for calculation, while \'Total Carbon\' will be calculated in Step 4.</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CO₂e/kg)</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r>
      <w:tr>
        <w:tc>
          <w:tcPr/>
          <w:p>
            <w:pPr>
              <w:pStyle w:val="Compact"/>
              <w:jc w:val="left"/>
            </w:pPr>
            <w:r>
              <w:t xml:space="preserve">3</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r>
    </w:tbl>
    <w:p>
      <w:pPr>
        <w:pStyle w:val="BodyText"/>
      </w:pPr>
      <w:r>
        <w:rPr>
          <w:bCs/>
          <w:b/>
        </w:rPr>
        <w:t xml:space="preserve">Total Product Weight (excluding packaging for transport calculation):</w:t>
      </w:r>
      <w:r>
        <w:t xml:space="preserve"> </w:t>
      </w:r>
      <w:r>
        <w:t xml:space="preserve">0.3 kg (Plastic Casing + Copper Wire + Circuit Board + Lithium-Ion Battery)</w:t>
      </w:r>
    </w:p>
    <w:p>
      <w:pPr>
        <w:pStyle w:val="BodyText"/>
      </w:pPr>
      <w:r>
        <w:rPr>
          <w:bCs/>
          <w:b/>
        </w:rPr>
        <w:t xml:space="preserve">Total Product Weight (including packaging):</w:t>
      </w:r>
      <w:r>
        <w:t xml:space="preserve"> </w:t>
      </w:r>
      <w:r>
        <w:t xml:space="preserve">0.4 kg</w:t>
      </w:r>
    </w:p>
    <w:bookmarkEnd w:id="29"/>
    <w:bookmarkStart w:id="30"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okppdqywul (e.g., 15 kWh/unit)</w:t>
      </w:r>
    </w:p>
    <w:p>
      <w:pPr>
        <w:numPr>
          <w:ilvl w:val="0"/>
          <w:numId w:val="1003"/>
        </w:numPr>
        <w:pStyle w:val="Compact"/>
      </w:pPr>
      <w:r>
        <w:rPr>
          <w:bCs/>
          <w:b/>
        </w:rPr>
        <w:t xml:space="preserve">Renewable Energy Usage:</w:t>
      </w:r>
      <w:r>
        <w:t xml:space="preserve"> </w:t>
      </w:r>
      <w:r>
        <w:t xml:space="preserve">wvjekzfttw (e.g., 70%)</w:t>
      </w:r>
    </w:p>
    <w:p>
      <w:pPr>
        <w:numPr>
          <w:ilvl w:val="0"/>
          <w:numId w:val="1003"/>
        </w:numPr>
        <w:pStyle w:val="Compact"/>
      </w:pPr>
      <w:r>
        <w:rPr>
          <w:bCs/>
          <w:b/>
        </w:rPr>
        <w:t xml:space="preserve">Non-Renewable Energy Usage:</w:t>
      </w:r>
      <w:r>
        <w:t xml:space="preserve"> </w:t>
      </w:r>
      <w:r>
        <w:t xml:space="preserve">(1 - wvjekzfttw) * okppdqywul = (1 - 0.7) * 15 kWh/unit = 4.5 kWh/unit</w:t>
      </w:r>
    </w:p>
    <w:p>
      <w:pPr>
        <w:numPr>
          <w:ilvl w:val="0"/>
          <w:numId w:val="1003"/>
        </w:numPr>
        <w:pStyle w:val="Compact"/>
      </w:pPr>
      <w:r>
        <w:rPr>
          <w:bCs/>
          <w:b/>
        </w:rPr>
        <w:t xml:space="preserve">Electricity Grid Mix Emission Factor (China):</w:t>
      </w:r>
      <w:r>
        <w:t xml:space="preserve"> </w:t>
      </w:r>
      <w:r>
        <w:t xml:space="preserve">Approximately 0.53 - 0.62 kg CO₂e/kWh for the national average. We will use a conservative average of 0.58 kg CO₂e/kWh for non-renewable electricity in China.</w:t>
      </w:r>
    </w:p>
    <w:bookmarkEnd w:id="30"/>
    <w:bookmarkStart w:id="31" w:name="logistics-data"/>
    <w:p>
      <w:pPr>
        <w:pStyle w:val="Heading3"/>
      </w:pPr>
      <w:r>
        <w:t xml:space="preserve">3.3 Logistics Data</w:t>
      </w:r>
    </w:p>
    <w:p>
      <w:pPr>
        <w:numPr>
          <w:ilvl w:val="0"/>
          <w:numId w:val="1004"/>
        </w:numPr>
        <w:pStyle w:val="Compact"/>
      </w:pPr>
      <w:r>
        <w:rPr>
          <w:bCs/>
          <w:b/>
        </w:rPr>
        <w:t xml:space="preserve">Main Transport Mode (China to Europe):</w:t>
      </w:r>
      <w:r>
        <w:t xml:space="preserve"> </w:t>
      </w:r>
      <w:r>
        <w:t xml:space="preserve">Select Mode (Assumed: Ocean Freight, Container Ship)</w:t>
      </w:r>
    </w:p>
    <w:p>
      <w:pPr>
        <w:numPr>
          <w:ilvl w:val="0"/>
          <w:numId w:val="1004"/>
        </w:numPr>
        <w:pStyle w:val="Compact"/>
      </w:pPr>
      <w:r>
        <w:rPr>
          <w:bCs/>
          <w:b/>
        </w:rPr>
        <w:t xml:space="preserve">Main Transport Distance:</w:t>
      </w:r>
      <w:r>
        <w:t xml:space="preserve"> </w:t>
      </w:r>
      <w:r>
        <w:t xml:space="preserve">mqsfwwzzpn (Assumed: 15,000 km, typical for China-Europe ocean routes)</w:t>
      </w:r>
    </w:p>
    <w:p>
      <w:pPr>
        <w:numPr>
          <w:ilvl w:val="0"/>
          <w:numId w:val="1004"/>
        </w:numPr>
        <w:pStyle w:val="Compact"/>
      </w:pPr>
      <w:r>
        <w:rPr>
          <w:bCs/>
          <w:b/>
        </w:rPr>
        <w:t xml:space="preserve">Last-Mile Delivery Channel:</w:t>
      </w:r>
      <w:r>
        <w:t xml:space="preserve"> </w:t>
      </w:r>
      <w:r>
        <w:t xml:space="preserve">Delivery Type (Assumed: Road Freight, Van, &lt;3.5t)</w:t>
      </w:r>
    </w:p>
    <w:p>
      <w:pPr>
        <w:numPr>
          <w:ilvl w:val="0"/>
          <w:numId w:val="1004"/>
        </w:numPr>
        <w:pStyle w:val="Compact"/>
      </w:pPr>
      <w:r>
        <w:rPr>
          <w:bCs/>
          <w:b/>
        </w:rPr>
        <w:t xml:space="preserve">Last-Mile Delivery Distance:</w:t>
      </w:r>
      <w:r>
        <w:t xml:space="preserve"> </w:t>
      </w:r>
      <w:r>
        <w:t xml:space="preserve">Assumed: 50 km</w:t>
      </w:r>
    </w:p>
    <w:p>
      <w:pPr>
        <w:numPr>
          <w:ilvl w:val="0"/>
          <w:numId w:val="1004"/>
        </w:numPr>
        <w:pStyle w:val="Compact"/>
      </w:pPr>
      <w:r>
        <w:rPr>
          <w:bCs/>
          <w:b/>
        </w:rPr>
        <w:t xml:space="preserve">Transport Emission Factor (Ocean Freight):</w:t>
      </w:r>
      <w:r>
        <w:t xml:space="preserve"> </w:t>
      </w:r>
      <w:r>
        <w:t xml:space="preserve">~0.01 kg CO₂e/tkm (tonne-kilometer)</w:t>
      </w:r>
    </w:p>
    <w:p>
      <w:pPr>
        <w:numPr>
          <w:ilvl w:val="0"/>
          <w:numId w:val="1004"/>
        </w:numPr>
        <w:pStyle w:val="Compact"/>
      </w:pPr>
      <w:r>
        <w:rPr>
          <w:bCs/>
          <w:b/>
        </w:rPr>
        <w:t xml:space="preserve">Transport Emission Factor (Road Freight, Van, &lt;3.5t):</w:t>
      </w:r>
      <w:r>
        <w:t xml:space="preserve"> </w:t>
      </w:r>
      <w:r>
        <w:t xml:space="preserve">~0.2 kg CO₂e/tkm</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wkzhegoyqy (e.g., 5 years)</w:t>
      </w:r>
    </w:p>
    <w:p>
      <w:pPr>
        <w:numPr>
          <w:ilvl w:val="0"/>
          <w:numId w:val="1005"/>
        </w:numPr>
        <w:pStyle w:val="Compact"/>
      </w:pPr>
      <w:r>
        <w:rPr>
          <w:bCs/>
          <w:b/>
        </w:rPr>
        <w:t xml:space="preserve">Energy Consumption in Use:</w:t>
      </w:r>
      <w:r>
        <w:t xml:space="preserve"> </w:t>
      </w:r>
      <w:r>
        <w:t xml:space="preserve">kipnsznuft (e.g., 20 kWh/year)</w:t>
      </w:r>
    </w:p>
    <w:p>
      <w:pPr>
        <w:numPr>
          <w:ilvl w:val="0"/>
          <w:numId w:val="1005"/>
        </w:numPr>
        <w:pStyle w:val="Compact"/>
      </w:pPr>
      <w:r>
        <w:rPr>
          <w:bCs/>
          <w:b/>
        </w:rPr>
        <w:t xml:space="preserve">Electricity Grid Mix Emission Factor (Europe Average for Use Phase):</w:t>
      </w:r>
      <w:r>
        <w:t xml:space="preserve"> </w:t>
      </w:r>
      <w:r>
        <w:t xml:space="preserve">Approximately 0.24 - 0.28 kg CO₂e/kWh. We will use 0.26 kg CO₂e/kWh.</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tlyivhnjml (e.g., 60%)</w:t>
      </w:r>
    </w:p>
    <w:p>
      <w:pPr>
        <w:numPr>
          <w:ilvl w:val="0"/>
          <w:numId w:val="1006"/>
        </w:numPr>
        <w:pStyle w:val="Compact"/>
      </w:pPr>
      <w:r>
        <w:rPr>
          <w:bCs/>
          <w:b/>
        </w:rPr>
        <w:t xml:space="preserve">Circular/Take-back Programs:</w:t>
      </w:r>
      <w:r>
        <w:t xml:space="preserve"> </w:t>
      </w:r>
      <w:r>
        <w:t xml:space="preserve">nxhxfyzldp (e.g., Yes, established take-back program)</w:t>
      </w:r>
    </w:p>
    <w:p>
      <w:pPr>
        <w:numPr>
          <w:ilvl w:val="0"/>
          <w:numId w:val="1006"/>
        </w:numPr>
        <w:pStyle w:val="Compact"/>
      </w:pPr>
      <w:r>
        <w:rPr>
          <w:bCs/>
          <w:b/>
        </w:rPr>
        <w:t xml:space="preserve">Waste to Landfill Emission Factor (Mixed Waste):</w:t>
      </w:r>
      <w:r>
        <w:t xml:space="preserve"> </w:t>
      </w:r>
      <w:r>
        <w:t xml:space="preserve">~0.5 kg CO₂e/kg (for non-recycled portion)</w:t>
      </w:r>
    </w:p>
    <w:p>
      <w:r>
        <w:pict>
          <v:rect style="width:0;height:1.5pt" o:hralign="center" o:hrstd="t" o:hr="t"/>
        </w:pict>
      </w:r>
    </w:p>
    <w:bookmarkEnd w:id="33"/>
    <w:bookmarkEnd w:id="34"/>
    <w:bookmarkStart w:id="44" w:name="Xcd15228ad4b4b33f2ce5c5fe3c5d7f7a5152f4e"/>
    <w:p>
      <w:pPr>
        <w:pStyle w:val="Heading2"/>
      </w:pPr>
      <w:r>
        <w:t xml:space="preserve">4. Calculation of Emissions (Activity * Emission Factor = CO₂e)</w:t>
      </w:r>
    </w:p>
    <w:p>
      <w:pPr>
        <w:pStyle w:val="FirstParagraph"/>
      </w:pPr>
      <w:r>
        <w:t xml:space="preserve">This section details the calculation of GHG emissions for each lifecycle stage of mrgrywxpgy, categorized according to the GHG Protocol\'s Scope 1, 2, and 3 definitions.</w:t>
      </w:r>
    </w:p>
    <w:bookmarkStart w:id="35" w:name="Xc70fd7dde14713a45006123e76ee34511015a0c"/>
    <w:p>
      <w:pPr>
        <w:pStyle w:val="Heading3"/>
      </w:pPr>
      <w:r>
        <w:t xml:space="preserve">4.1 Materials Acquisition and Pre-processing (Scope 3 - Upstream)</w:t>
      </w:r>
    </w:p>
    <w:p>
      <w:pPr>
        <w:pStyle w:val="FirstParagraph"/>
      </w:pPr>
      <w:r>
        <w:t xml:space="preserve">Calculations are based on the Detailed Bill of Materials (BOM) and corresponding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Plastic Casing (ABS)</w:t>
            </w:r>
          </w:p>
        </w:tc>
        <w:tc>
          <w:tcPr/>
          <w:p>
            <w:pPr>
              <w:pStyle w:val="Compact"/>
              <w:jc w:val="left"/>
            </w:pPr>
            <w:r>
              <w:t xml:space="preserve">0.15</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Copper Wire</w:t>
            </w:r>
          </w:p>
        </w:tc>
        <w:tc>
          <w:tcPr/>
          <w:p>
            <w:pPr>
              <w:pStyle w:val="Compact"/>
              <w:jc w:val="left"/>
            </w:pPr>
            <w:r>
              <w:t xml:space="preserve">0.02</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Circuit Board (FR4)</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Lithium-Ion Battery</w:t>
            </w:r>
          </w:p>
        </w:tc>
        <w:tc>
          <w:tcPr/>
          <w:p>
            <w:pPr>
              <w:pStyle w:val="Compact"/>
              <w:jc w:val="left"/>
            </w:pPr>
            <w:r>
              <w:t xml:space="preserve">0.08</w:t>
            </w:r>
          </w:p>
        </w:tc>
        <w:tc>
          <w:tcPr/>
          <w:p>
            <w:pPr>
              <w:pStyle w:val="Compact"/>
              <w:jc w:val="left"/>
            </w:pPr>
            <w:r>
              <w:t xml:space="preserve">25.0</w:t>
            </w:r>
          </w:p>
        </w:tc>
        <w:tc>
          <w:tcPr/>
          <w:p>
            <w:pPr>
              <w:pStyle w:val="Compact"/>
              <w:jc w:val="left"/>
            </w:pPr>
            <w:r>
              <w:t xml:space="preserve">2.000</w:t>
            </w:r>
          </w:p>
        </w:tc>
      </w:tr>
      <w:tr>
        <w:tc>
          <w:tcPr/>
          <w:p>
            <w:pPr>
              <w:pStyle w:val="Compact"/>
              <w:jc w:val="left"/>
            </w:pPr>
            <w:r>
              <w:t xml:space="preserve">Packaging (Recycled Cardboard)</w:t>
            </w:r>
          </w:p>
        </w:tc>
        <w:tc>
          <w:tcPr/>
          <w:p>
            <w:pPr>
              <w:pStyle w:val="Compact"/>
              <w:jc w:val="left"/>
            </w:pPr>
            <w:r>
              <w:t xml:space="preserve">0.1</w:t>
            </w:r>
          </w:p>
        </w:tc>
        <w:tc>
          <w:tcPr/>
          <w:p>
            <w:pPr>
              <w:pStyle w:val="Compact"/>
              <w:jc w:val="left"/>
            </w:pPr>
            <w:r>
              <w:t xml:space="preserve">1.2</w:t>
            </w:r>
          </w:p>
        </w:tc>
        <w:tc>
          <w:tcPr/>
          <w:p>
            <w:pPr>
              <w:pStyle w:val="Compact"/>
              <w:jc w:val="left"/>
            </w:pPr>
            <w:r>
              <w:t xml:space="preserve">0.120</w:t>
            </w:r>
          </w:p>
        </w:tc>
      </w:tr>
      <w:tr>
        <w:tc>
          <w:tcPr>
            <w:gridSpan w:val="3"/>
          </w:tcPr>
          <w:p>
            <w:pPr>
              <w:pStyle w:val="Compact"/>
              <w:jc w:val="right"/>
            </w:pPr>
            <w:r>
              <w:rPr>
                <w:bCs/>
                <w:b/>
              </w:rPr>
              <w:t xml:space="preserve">Subtotal (Materials)</w:t>
            </w:r>
          </w:p>
        </w:tc>
        <w:tc>
          <w:tcPr/>
          <w:p>
            <w:pPr>
              <w:pStyle w:val="Compact"/>
              <w:jc w:val="left"/>
            </w:pPr>
            <w:r>
              <w:rPr>
                <w:bCs/>
                <w:b/>
              </w:rPr>
              <w:t xml:space="preserve">3.325</w:t>
            </w:r>
          </w:p>
        </w:tc>
      </w:tr>
    </w:tbl>
    <w:p>
      <w:pPr>
        <w:pStyle w:val="BodyText"/>
      </w:pPr>
      <w:r>
        <w:rPr>
          <w:bCs/>
          <w:b/>
        </w:rPr>
        <w:t xml:space="preserve">Total Materials Emissions: 3.325 kg CO₂e</w:t>
      </w:r>
    </w:p>
    <w:bookmarkEnd w:id="35"/>
    <w:bookmarkStart w:id="36" w:name="manufacturing-scope-2"/>
    <w:p>
      <w:pPr>
        <w:pStyle w:val="Heading3"/>
      </w:pPr>
      <w:r>
        <w:t xml:space="preserve">4.2 Manufacturing (Scope 2)</w:t>
      </w:r>
    </w:p>
    <w:p>
      <w:pPr>
        <w:pStyle w:val="FirstParagraph"/>
      </w:pPr>
      <w:r>
        <w:t xml:space="preserve">Emissions from purchased electricity for manufacturing, considering renewable energy usage.</w:t>
      </w:r>
    </w:p>
    <w:p>
      <w:pPr>
        <w:numPr>
          <w:ilvl w:val="0"/>
          <w:numId w:val="1007"/>
        </w:numPr>
        <w:pStyle w:val="Compact"/>
      </w:pPr>
      <w:r>
        <w:t xml:space="preserve">Energy Intensity: 15 kWh/unit</w:t>
      </w:r>
    </w:p>
    <w:p>
      <w:pPr>
        <w:numPr>
          <w:ilvl w:val="0"/>
          <w:numId w:val="1007"/>
        </w:numPr>
        <w:pStyle w:val="Compact"/>
      </w:pPr>
      <w:r>
        <w:t xml:space="preserve">Renewable Energy Usage: 70%</w:t>
      </w:r>
    </w:p>
    <w:p>
      <w:pPr>
        <w:numPr>
          <w:ilvl w:val="0"/>
          <w:numId w:val="1007"/>
        </w:numPr>
        <w:pStyle w:val="Compact"/>
      </w:pPr>
      <w:r>
        <w:t xml:space="preserve">Non-Renewable Energy Consumption: 4.5 kWh/unit</w:t>
      </w:r>
    </w:p>
    <w:p>
      <w:pPr>
        <w:numPr>
          <w:ilvl w:val="0"/>
          <w:numId w:val="1007"/>
        </w:numPr>
        <w:pStyle w:val="Compact"/>
      </w:pPr>
      <w:r>
        <w:t xml:space="preserve">China Grid Mix Emission Factor: 0.58 kg CO₂e/kWh</w:t>
      </w:r>
    </w:p>
    <w:p>
      <w:pPr>
        <w:pStyle w:val="FirstParagraph"/>
      </w:pPr>
      <w:r>
        <w:t xml:space="preserve">Manufacturing Emissions (Scope 2) = Non-Renewable Energy Consumption * China Grid Mix EF</w:t>
      </w:r>
    </w:p>
    <w:p>
      <w:pPr>
        <w:pStyle w:val="BodyText"/>
      </w:pPr>
      <w:r>
        <w:t xml:space="preserve">Manufacturing Emissions (Scope 2) = 4.5 kWh/unit * 0.58 kg CO₂e/kWh = 2.610 kg CO₂e</w:t>
      </w:r>
    </w:p>
    <w:p>
      <w:pPr>
        <w:pStyle w:val="BodyText"/>
      </w:pPr>
      <w:r>
        <w:rPr>
          <w:bCs/>
          <w:b/>
        </w:rPr>
        <w:t xml:space="preserve">Total Manufacturing Emissions: 2.610 kg CO₂e</w:t>
      </w:r>
    </w:p>
    <w:p>
      <w:pPr>
        <w:pStyle w:val="BodyText"/>
      </w:pPr>
      <w:r>
        <w:rPr>
          <w:iCs/>
          <w:i/>
        </w:rPr>
        <w:t xml:space="preserve">Note: Scope 1 direct emissions from manufacturing are assumed negligible or implicitly covered by the provided energy intensity for this analysis, as no specific direct process emissions data was provided.</w:t>
      </w:r>
    </w:p>
    <w:bookmarkEnd w:id="36"/>
    <w:bookmarkStart w:id="40" w:name="X981923b8cb60f0edee598a5efe02199461582eb"/>
    <w:p>
      <w:pPr>
        <w:pStyle w:val="Heading3"/>
      </w:pPr>
      <w:r>
        <w:t xml:space="preserve">4.3 Transportation (Scope 3 - Upstream &amp; Downstream)</w:t>
      </w:r>
    </w:p>
    <w:p>
      <w:pPr>
        <w:pStyle w:val="FirstParagraph"/>
      </w:pPr>
      <w:r>
        <w:t xml:space="preserve">Emissions from transporting materials to the factory (upstream) and the finished product to the customer (downstream).</w:t>
      </w:r>
    </w:p>
    <w:bookmarkStart w:id="37" w:name="X426d62106aa63ef93b3361ccef808a9f31f6800"/>
    <w:p>
      <w:pPr>
        <w:pStyle w:val="Heading4"/>
      </w:pPr>
      <w:r>
        <w:t xml:space="preserve">4.3.1 Upstream Transport (Materials to Factory - Assumed negligible or included in material EFs)</w:t>
      </w:r>
    </w:p>
    <w:p>
      <w:pPr>
        <w:pStyle w:val="FirstParagraph"/>
      </w:pPr>
      <w:r>
        <w:t xml:space="preserve">For this analysis, upstream transport of individual BOM components to the Chinese factory is assumed to be embedded within the material emission factors provided or considered negligible relative to main transport legs, due to lack of specific data. In a more granular analysis, this would be a separate calculation.</w:t>
      </w:r>
    </w:p>
    <w:bookmarkEnd w:id="37"/>
    <w:bookmarkStart w:id="38" w:name="X5341b2afecaa04448ae144ae06cc56f071e4802"/>
    <w:p>
      <w:pPr>
        <w:pStyle w:val="Heading4"/>
      </w:pPr>
      <w:r>
        <w:t xml:space="preserve">4.3.2 Downstream Transport (Finished Product - China to Europe)</w:t>
      </w:r>
    </w:p>
    <w:p>
      <w:pPr>
        <w:numPr>
          <w:ilvl w:val="0"/>
          <w:numId w:val="1008"/>
        </w:numPr>
        <w:pStyle w:val="Compact"/>
      </w:pPr>
      <w:r>
        <w:t xml:space="preserve">Product Weight for transport (including packaging): 0.4 kg = 0.0004 tonnes</w:t>
      </w:r>
    </w:p>
    <w:p>
      <w:pPr>
        <w:numPr>
          <w:ilvl w:val="0"/>
          <w:numId w:val="1008"/>
        </w:numPr>
        <w:pStyle w:val="Compact"/>
      </w:pPr>
      <w:r>
        <w:t xml:space="preserve">Main Transport Mode: Ocean Freight, Container Ship</w:t>
      </w:r>
    </w:p>
    <w:p>
      <w:pPr>
        <w:numPr>
          <w:ilvl w:val="0"/>
          <w:numId w:val="1008"/>
        </w:numPr>
        <w:pStyle w:val="Compact"/>
      </w:pPr>
      <w:r>
        <w:t xml:space="preserve">Main Transport Distance: 15,000 km</w:t>
      </w:r>
    </w:p>
    <w:p>
      <w:pPr>
        <w:numPr>
          <w:ilvl w:val="0"/>
          <w:numId w:val="1008"/>
        </w:numPr>
        <w:pStyle w:val="Compact"/>
      </w:pPr>
      <w:r>
        <w:t xml:space="preserve">Ocean Freight Emission Factor: 0.01 kg CO₂e/tkm</w:t>
      </w:r>
    </w:p>
    <w:p>
      <w:pPr>
        <w:pStyle w:val="FirstParagraph"/>
      </w:pPr>
      <w:r>
        <w:t xml:space="preserve">Main Transport Emissions = Product Weight (tonnes) * Distance (km) * EF (kg CO₂e/tkm)</w:t>
      </w:r>
    </w:p>
    <w:p>
      <w:pPr>
        <w:pStyle w:val="BodyText"/>
      </w:pPr>
      <w:r>
        <w:t xml:space="preserve">Main Transport Emissions = 0.0004 tonnes * 15,000 km * 0.01 kg CO₂e/tkm = 0.060 kg CO₂e</w:t>
      </w:r>
    </w:p>
    <w:bookmarkEnd w:id="38"/>
    <w:bookmarkStart w:id="39" w:name="last-mile-delivery-europe"/>
    <w:p>
      <w:pPr>
        <w:pStyle w:val="Heading4"/>
      </w:pPr>
      <w:r>
        <w:t xml:space="preserve">4.3.3 Last-Mile Delivery (Europe)</w:t>
      </w:r>
    </w:p>
    <w:p>
      <w:pPr>
        <w:numPr>
          <w:ilvl w:val="0"/>
          <w:numId w:val="1009"/>
        </w:numPr>
        <w:pStyle w:val="Compact"/>
      </w:pPr>
      <w:r>
        <w:t xml:space="preserve">Product Weight for transport: 0.4 kg = 0.0004 tonnes</w:t>
      </w:r>
    </w:p>
    <w:p>
      <w:pPr>
        <w:numPr>
          <w:ilvl w:val="0"/>
          <w:numId w:val="1009"/>
        </w:numPr>
        <w:pStyle w:val="Compact"/>
      </w:pPr>
      <w:r>
        <w:t xml:space="preserve">Last-Mile Delivery Channel: Road Freight (Van, &lt;3.5t)</w:t>
      </w:r>
    </w:p>
    <w:p>
      <w:pPr>
        <w:numPr>
          <w:ilvl w:val="0"/>
          <w:numId w:val="1009"/>
        </w:numPr>
        <w:pStyle w:val="Compact"/>
      </w:pPr>
      <w:r>
        <w:t xml:space="preserve">Last-Mile Delivery Distance: 50 km</w:t>
      </w:r>
    </w:p>
    <w:p>
      <w:pPr>
        <w:numPr>
          <w:ilvl w:val="0"/>
          <w:numId w:val="1009"/>
        </w:numPr>
        <w:pStyle w:val="Compact"/>
      </w:pPr>
      <w:r>
        <w:t xml:space="preserve">Road Freight Emission Factor: 0.2 kg CO₂e/tkm</w:t>
      </w:r>
    </w:p>
    <w:p>
      <w:pPr>
        <w:pStyle w:val="FirstParagraph"/>
      </w:pPr>
      <w:r>
        <w:t xml:space="preserve">Last-Mile Delivery Emissions = Product Weight (tonnes) * Distance (km) * EF (kg CO₂e/tkm)</w:t>
      </w:r>
    </w:p>
    <w:p>
      <w:pPr>
        <w:pStyle w:val="BodyText"/>
      </w:pPr>
      <w:r>
        <w:t xml:space="preserve">Last-Mile Delivery Emissions = 0.0004 tonnes * 50 km * 0.2 kg CO₂e/tkm = 0.004 kg CO₂e</w:t>
      </w:r>
    </w:p>
    <w:p>
      <w:pPr>
        <w:pStyle w:val="BodyText"/>
      </w:pPr>
      <w:r>
        <w:rPr>
          <w:bCs/>
          <w:b/>
        </w:rPr>
        <w:t xml:space="preserve">Total Transportation Emissions: 0.060 + 0.004 = 0.064 kg CO₂e</w:t>
      </w:r>
    </w:p>
    <w:bookmarkEnd w:id="39"/>
    <w:bookmarkEnd w:id="40"/>
    <w:bookmarkStart w:id="41" w:name="use-phase-scope-3---downstream"/>
    <w:p>
      <w:pPr>
        <w:pStyle w:val="Heading3"/>
      </w:pPr>
      <w:r>
        <w:t xml:space="preserve">4.4 Use Phase (Scope 3 - Downstream)</w:t>
      </w:r>
    </w:p>
    <w:p>
      <w:pPr>
        <w:pStyle w:val="FirstParagraph"/>
      </w:pPr>
      <w:r>
        <w:t xml:space="preserve">Emissions from the product\'s energy consumption during its lifespan.</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Total Use Phase Energy = 5 years * 20 kWh/year = 100 kWh</w:t>
      </w:r>
    </w:p>
    <w:p>
      <w:pPr>
        <w:numPr>
          <w:ilvl w:val="0"/>
          <w:numId w:val="1010"/>
        </w:numPr>
        <w:pStyle w:val="Compact"/>
      </w:pPr>
      <w:r>
        <w:t xml:space="preserve">European Average Grid Mix Emission Factor: 0.26 kg CO₂e/kWh</w:t>
      </w:r>
    </w:p>
    <w:p>
      <w:pPr>
        <w:pStyle w:val="FirstParagraph"/>
      </w:pPr>
      <w:r>
        <w:t xml:space="preserve">Use Phase Emissions = Total Use Phase Energy * Europe Grid Mix EF</w:t>
      </w:r>
    </w:p>
    <w:p>
      <w:pPr>
        <w:pStyle w:val="BodyText"/>
      </w:pPr>
      <w:r>
        <w:t xml:space="preserve">Use Phase Emissions = 100 kWh * 0.26 kg CO₂e/kWh = 26.000 kg CO₂e</w:t>
      </w:r>
    </w:p>
    <w:p>
      <w:pPr>
        <w:pStyle w:val="BodyText"/>
      </w:pPr>
      <w:r>
        <w:rPr>
          <w:bCs/>
          <w:b/>
        </w:rPr>
        <w:t xml:space="preserve">Total Use Phase Emissions: 26.000 kg CO₂e</w:t>
      </w:r>
    </w:p>
    <w:bookmarkEnd w:id="41"/>
    <w:bookmarkStart w:id="42" w:name="end-of-life-eol-scope-3---downstream"/>
    <w:p>
      <w:pPr>
        <w:pStyle w:val="Heading3"/>
      </w:pPr>
      <w:r>
        <w:t xml:space="preserve">4.5 End-of-Life (EoL) (Scope 3 - Downstream)</w:t>
      </w:r>
    </w:p>
    <w:p>
      <w:pPr>
        <w:pStyle w:val="FirstParagraph"/>
      </w:pPr>
      <w:r>
        <w:t xml:space="preserve">Emissions associated with the product\'s disposal and recycling. Total product weight including packaging is 0.4 kg.</w:t>
      </w:r>
    </w:p>
    <w:p>
      <w:pPr>
        <w:numPr>
          <w:ilvl w:val="0"/>
          <w:numId w:val="1011"/>
        </w:numPr>
        <w:pStyle w:val="Compact"/>
      </w:pPr>
      <w:r>
        <w:t xml:space="preserve">Recyclability Percentage: 60%</w:t>
      </w:r>
    </w:p>
    <w:p>
      <w:pPr>
        <w:numPr>
          <w:ilvl w:val="0"/>
          <w:numId w:val="1011"/>
        </w:numPr>
        <w:pStyle w:val="Compact"/>
      </w:pPr>
      <w:r>
        <w:t xml:space="preserve">Weight Recycled = 0.4 kg * 0.60 = 0.24 kg</w:t>
      </w:r>
    </w:p>
    <w:p>
      <w:pPr>
        <w:numPr>
          <w:ilvl w:val="0"/>
          <w:numId w:val="1011"/>
        </w:numPr>
        <w:pStyle w:val="Compact"/>
      </w:pPr>
      <w:r>
        <w:t xml:space="preserve">Weight to Waste (Landfill) = 0.4 kg * (1 - 0.60) = 0.16 kg</w:t>
      </w:r>
    </w:p>
    <w:p>
      <w:pPr>
        <w:numPr>
          <w:ilvl w:val="0"/>
          <w:numId w:val="1011"/>
        </w:numPr>
        <w:pStyle w:val="Compact"/>
      </w:pPr>
      <w:r>
        <w:t xml:space="preserve">Waste to Landfill Emission Factor: 0.5 kg CO₂e/kg</w:t>
      </w:r>
    </w:p>
    <w:p>
      <w:pPr>
        <w:pStyle w:val="FirstParagraph"/>
      </w:pPr>
      <w:r>
        <w:t xml:space="preserve">Landfill Emissions = Weight to Waste (kg) * Landfill EF (kg CO₂e/kg)</w:t>
      </w:r>
    </w:p>
    <w:p>
      <w:pPr>
        <w:pStyle w:val="BodyText"/>
      </w:pPr>
      <w:r>
        <w:t xml:space="preserve">Landfill Emissions = 0.16 kg * 0.5 kg CO₂e/kg = 0.080 kg CO₂e</w:t>
      </w:r>
    </w:p>
    <w:p>
      <w:pPr>
        <w:pStyle w:val="BodyText"/>
      </w:pPr>
      <w:r>
        <w:rPr>
          <w:bCs/>
          <w:b/>
        </w:rPr>
        <w:t xml:space="preserve">Total End-of-Life Emissions: 0.080 kg CO₂e</w:t>
      </w:r>
    </w:p>
    <w:p>
      <w:pPr>
        <w:pStyle w:val="BodyText"/>
      </w:pPr>
      <w:r>
        <w:rPr>
          <w:iCs/>
          <w:i/>
        </w:rPr>
        <w:t xml:space="preserve">Note: The presence of \'Yes, established take-back program\' (nxhxfyzldp) indicates efforts to increase circularity and reduce landfilling, which would lead to avoided emissions. However, for a conservative PCF calculation, only the emissions from non-recycled waste are quantified here. A full circularity assessment would include avoided emissions from recycling.</w:t>
      </w:r>
    </w:p>
    <w:bookmarkEnd w:id="42"/>
    <w:bookmarkStart w:id="43" w:name="summary-of-product-carbon-footprint-pcf"/>
    <w:p>
      <w:pPr>
        <w:pStyle w:val="Heading3"/>
      </w:pPr>
      <w:r>
        <w:t xml:space="preserve">4.6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CO₂e (kg)</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3.325</w:t>
            </w:r>
          </w:p>
        </w:tc>
        <w:tc>
          <w:tcPr/>
          <w:p>
            <w:pPr>
              <w:pStyle w:val="Compact"/>
              <w:jc w:val="left"/>
            </w:pPr>
            <w:r>
              <w:t xml:space="preserve">11.14%</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2.610</w:t>
            </w:r>
          </w:p>
        </w:tc>
        <w:tc>
          <w:tcPr/>
          <w:p>
            <w:pPr>
              <w:pStyle w:val="Compact"/>
              <w:jc w:val="left"/>
            </w:pPr>
            <w:r>
              <w:t xml:space="preserve">8.75%</w:t>
            </w: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jc w:val="left"/>
            </w:pPr>
            <w:r>
              <w:t xml:space="preserve">0.064</w:t>
            </w:r>
          </w:p>
        </w:tc>
        <w:tc>
          <w:tcPr/>
          <w:p>
            <w:pPr>
              <w:pStyle w:val="Compact"/>
              <w:jc w:val="left"/>
            </w:pPr>
            <w:r>
              <w:t xml:space="preserve">0.21%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26.000</w:t>
            </w:r>
          </w:p>
        </w:tc>
        <w:tc>
          <w:tcPr/>
          <w:p>
            <w:pPr>
              <w:pStyle w:val="Compact"/>
              <w:jc w:val="left"/>
            </w:pPr>
            <w:r>
              <w:t xml:space="preserve">87.16%</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0.080</w:t>
            </w:r>
          </w:p>
        </w:tc>
        <w:tc>
          <w:tcPr/>
          <w:p>
            <w:pPr>
              <w:pStyle w:val="Compact"/>
              <w:jc w:val="left"/>
            </w:pPr>
            <w:r>
              <w:t xml:space="preserve">0.27%</w:t>
            </w:r>
          </w:p>
        </w:tc>
      </w:tr>
      <w:tr>
        <w:tc>
          <w:tcPr>
            <w:gridSpan w:val="2"/>
          </w:tcPr>
          <w:p>
            <w:pPr>
              <w:pStyle w:val="Compact"/>
              <w:jc w:val="right"/>
            </w:pPr>
            <w:r>
              <w:rPr>
                <w:bCs/>
                <w:b/>
              </w:rPr>
              <w:t xml:space="preserve">TOTAL PCF</w:t>
            </w:r>
          </w:p>
        </w:tc>
        <w:tc>
          <w:tcPr/>
          <w:p>
            <w:pPr>
              <w:pStyle w:val="Compact"/>
              <w:jc w:val="left"/>
            </w:pPr>
            <w:r>
              <w:rPr>
                <w:bCs/>
                <w:b/>
              </w:rPr>
              <w:t xml:space="preserve">29.839</w:t>
            </w:r>
          </w:p>
        </w:tc>
        <w:tc>
          <w:tcPr/>
          <w:p>
            <w:pPr>
              <w:pStyle w:val="Compact"/>
              <w:jc w:val="left"/>
            </w:pPr>
            <w:r>
              <w:rPr>
                <w:bCs/>
                <w:b/>
              </w:rPr>
              <w:t xml:space="preserve">100.00%</w:t>
            </w:r>
          </w:p>
        </w:tc>
      </w:tr>
    </w:tbl>
    <w:p>
      <w:pPr>
        <w:pStyle w:val="BodyText"/>
      </w:pPr>
      <w:r>
        <w:rPr>
          <w:bCs/>
          <w:b/>
        </w:rPr>
        <w:t xml:space="preserve">Total PCF for mrgrywxpgy: 29.839 kg CO₂e per functional unit.</w:t>
      </w:r>
    </w:p>
    <w:p>
      <w:r>
        <w:pict>
          <v:rect style="width:0;height:1.5pt" o:hralign="center" o:hrstd="t" o:hr="t"/>
        </w:pict>
      </w:r>
    </w:p>
    <w:bookmarkEnd w:id="43"/>
    <w:bookmarkEnd w:id="44"/>
    <w:bookmarkStart w:id="49" w:name="review-report-hotspots-and-reliability"/>
    <w:p>
      <w:pPr>
        <w:pStyle w:val="Heading2"/>
      </w:pPr>
      <w:r>
        <w:t xml:space="preserve">5. Review &amp; Report: Hotspots and Reliability</w:t>
      </w:r>
    </w:p>
    <w:bookmarkStart w:id="45"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total carbon footprint of mrgrywxpgy, accounting for approximately 87.16% of emissions. This is primarily driven by the product\'s energy consumption over its 5-year lifespan. The second major hotspot is</w:t>
      </w:r>
      <w:r>
        <w:t xml:space="preserve"> </w:t>
      </w:r>
      <w:r>
        <w:rPr>
          <w:bCs/>
          <w:b/>
        </w:rPr>
        <w:t xml:space="preserve">Materials Acquisition &amp; Pre-processing</w:t>
      </w:r>
      <w:r>
        <w:t xml:space="preserve"> </w:t>
      </w:r>
      <w:r>
        <w:t xml:space="preserve">(11.14%), particularly the Lithium-Ion Battery and Circuit Board components, highlighting the embodied emissions in specialized electronic materials. Manufacturing and transportation contribute a smaller, though still relevant, portion of the overall footprint.</w:t>
      </w:r>
    </w:p>
    <w:bookmarkEnd w:id="45"/>
    <w:bookmarkStart w:id="46" w:name="reliability-of-data"/>
    <w:p>
      <w:pPr>
        <w:pStyle w:val="Heading3"/>
      </w:pPr>
      <w:r>
        <w:t xml:space="preserve">5.2 Reliability of Data</w:t>
      </w:r>
    </w:p>
    <w:p>
      <w:pPr>
        <w:pStyle w:val="FirstParagraph"/>
      </w:pPr>
      <w:r>
        <w:t xml:space="preserve">The reliability of this PCF analysis is strengthened by the use of specific primary data points provided (BOM, energy usage, lifespan, recyclability) and complemented by widely recognized secondary emission factors from Ecoinvent/DEFRA for other inputs. Assumptions for transport distances and specific grid mixes are based on typical industry averages for the defined geographic scopes. Continuous improvement in data collection, especially obtaining more primary data from suppliers, will further enhance accuracy.</w:t>
      </w:r>
    </w:p>
    <w:bookmarkEnd w:id="46"/>
    <w:bookmarkStart w:id="47" w:name="ghg-protocol-adherence-and-2026-updates"/>
    <w:p>
      <w:pPr>
        <w:pStyle w:val="Heading3"/>
      </w:pPr>
      <w:r>
        <w:t xml:space="preserve">5.3 GHG Protocol Adherence and 2026 Updates</w:t>
      </w:r>
    </w:p>
    <w:p>
      <w:pPr>
        <w:numPr>
          <w:ilvl w:val="0"/>
          <w:numId w:val="1012"/>
        </w:numPr>
        <w:pStyle w:val="Compact"/>
      </w:pPr>
      <w:r>
        <w:rPr>
          <w:bCs/>
          <w:b/>
        </w:rPr>
        <w:t xml:space="preserve">Scope 1, 2, 3 Categorization:</w:t>
      </w:r>
      <w:r>
        <w:t xml:space="preserve"> </w:t>
      </w:r>
      <w:r>
        <w:t xml:space="preserve">Emissions are clearly categorized according to the GHG Protocol (Scope 1 for direct, Scope 2 for purchased energy, and Scope 3 for value chain emissions).</w:t>
      </w:r>
    </w:p>
    <w:p>
      <w:pPr>
        <w:numPr>
          <w:ilvl w:val="0"/>
          <w:numId w:val="1012"/>
        </w:numPr>
        <w:pStyle w:val="Compact"/>
      </w:pPr>
      <w:r>
        <w:rPr>
          <w:bCs/>
          <w:b/>
        </w:rPr>
        <w:t xml:space="preserve">2026 LSR Update:</w:t>
      </w:r>
      <w:r>
        <w:t xml:space="preserve"> </w:t>
      </w:r>
      <w:r>
        <w:t xml:space="preserve">The Land Sector and Removals (LSR) Standard, effective January 1, 2027, is acknowledged for its guidance on land use and carbon removals. While specific land-use data for mrgrywxpgy\'s supply chain was not provided for detailed LSR calculation, future analyses will explicitly incorporate the LSR Standard requirements for land management, land-use change, biogenic products, and technological CO₂ removals as relevant to uxsmjviyku\'s operations and value chain.</w:t>
      </w:r>
    </w:p>
    <w:p>
      <w:pPr>
        <w:numPr>
          <w:ilvl w:val="0"/>
          <w:numId w:val="1012"/>
        </w:numPr>
        <w:pStyle w:val="Compact"/>
      </w:pPr>
      <w:r>
        <w:rPr>
          <w:bCs/>
          <w:b/>
        </w:rPr>
        <w:t xml:space="preserve">Scope 3 Compliance (95% Coverage):</w:t>
      </w:r>
      <w:r>
        <w:t xml:space="preserve"> </w:t>
      </w:r>
      <w:r>
        <w:t xml:space="preserve">This report strives for comprehensive Scope 3 reporting, covering all identified upstream (materials, upstream transport) and downstream (downstream transport, use phase, end-of-life) activities, in line with the proposed 2026 requirement for at least 95% coverage of required Scope 3 emissions.</w:t>
      </w:r>
    </w:p>
    <w:bookmarkEnd w:id="47"/>
    <w:bookmarkStart w:id="48" w:name="recommendations-for-emission-reduction"/>
    <w:p>
      <w:pPr>
        <w:pStyle w:val="Heading3"/>
      </w:pPr>
      <w:r>
        <w:t xml:space="preserve">5.4 Recommendations for Emission Reduction</w:t>
      </w:r>
    </w:p>
    <w:p>
      <w:pPr>
        <w:numPr>
          <w:ilvl w:val="0"/>
          <w:numId w:val="1013"/>
        </w:numPr>
        <w:pStyle w:val="Compact"/>
      </w:pPr>
      <w:r>
        <w:rPr>
          <w:bCs/>
          <w:b/>
        </w:rPr>
        <w:t xml:space="preserve">Focus on Use Phase:</w:t>
      </w:r>
      <w:r>
        <w:t xml:space="preserve"> </w:t>
      </w:r>
      <w:r>
        <w:t xml:space="preserve">Invest in R&amp;D to improve the energy efficiency of mrgrywxpgy during its operational lifespan. Explore low-power modes, smarter energy management, and design for reduced active consumption.</w:t>
      </w:r>
    </w:p>
    <w:p>
      <w:pPr>
        <w:numPr>
          <w:ilvl w:val="0"/>
          <w:numId w:val="1013"/>
        </w:numPr>
        <w:pStyle w:val="Compact"/>
      </w:pPr>
      <w:r>
        <w:rPr>
          <w:bCs/>
          <w:b/>
        </w:rPr>
        <w:t xml:space="preserve">Material Optimization:</w:t>
      </w:r>
      <w:r>
        <w:t xml:space="preserve"> </w:t>
      </w:r>
      <w:r>
        <w:t xml:space="preserve">Investigate alternative materials for high-impact components like the Lithium-Ion Battery and Circuit Board, seeking those with lower embodied carbon, without compromising performance.</w:t>
      </w:r>
    </w:p>
    <w:p>
      <w:pPr>
        <w:numPr>
          <w:ilvl w:val="0"/>
          <w:numId w:val="1013"/>
        </w:numPr>
        <w:pStyle w:val="Compact"/>
      </w:pPr>
      <w:r>
        <w:rPr>
          <w:bCs/>
          <w:b/>
        </w:rPr>
        <w:t xml:space="preserve">Supply Chain Engagement:</w:t>
      </w:r>
      <w:r>
        <w:t xml:space="preserve"> </w:t>
      </w:r>
      <w:r>
        <w:t xml:space="preserve">Collaborate with suppliers of high-impact materials to encourage their decarbonization efforts, potentially through renewable energy adoption in their manufacturing processes.</w:t>
      </w:r>
    </w:p>
    <w:p>
      <w:pPr>
        <w:numPr>
          <w:ilvl w:val="0"/>
          <w:numId w:val="1013"/>
        </w:numPr>
        <w:pStyle w:val="Compact"/>
      </w:pPr>
      <w:r>
        <w:rPr>
          <w:bCs/>
          <w:b/>
        </w:rPr>
        <w:t xml:space="preserve">Enhance Circularity:</w:t>
      </w:r>
      <w:r>
        <w:t xml:space="preserve"> </w:t>
      </w:r>
      <w:r>
        <w:t xml:space="preserve">Further develop and promote the existing circular/take-back programs (nxhxfyzldp) to maximize recycling and reuse rates beyond the current 60%, minimizing waste to landfill and leveraging avoided emissions.</w:t>
      </w:r>
    </w:p>
    <w:p>
      <w:pPr>
        <w:numPr>
          <w:ilvl w:val="0"/>
          <w:numId w:val="1013"/>
        </w:numPr>
        <w:pStyle w:val="Compact"/>
      </w:pPr>
      <w:r>
        <w:rPr>
          <w:bCs/>
          <w:b/>
        </w:rPr>
        <w:t xml:space="preserve">Renewable Energy Expansion:</w:t>
      </w:r>
      <w:r>
        <w:t xml:space="preserve"> </w:t>
      </w:r>
      <w:r>
        <w:t xml:space="preserve">Increase the percentage of renewable energy used in uxsmjviyku\'s own manufacturing operations (beyond wvjekzfttw) in China to further reduce Scope 2 emissions.</w:t>
      </w:r>
    </w:p>
    <w:p>
      <w:r>
        <w:pict>
          <v:rect style="width:0;height:1.5pt" o:hralign="center" o:hrstd="t" o:hr="t"/>
        </w:pict>
      </w:r>
    </w:p>
    <w:p>
      <w:pPr>
        <w:pStyle w:val="FirstParagraph"/>
      </w:pPr>
      <w:r>
        <w:t xml:space="preserve">Confidential - Internal Use Only | Page</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mrgrywxpgy</dc:title>
  <dc:creator/>
  <dc:description>Detailed Product Carbon Footprint (PCF) analysis report for mrgrywxpgy, compliant with GHG Protocol, prepared by Senior Sustainability Consultant hxoiusgprf for uxsmjviyku.</dc:description>
  <dc:language>en</dc:language>
  <cp:keywords/>
  <dcterms:created xsi:type="dcterms:W3CDTF">2026-05-30T18:13:52Z</dcterms:created>
  <dcterms:modified xsi:type="dcterms:W3CDTF">2026-05-30T18:13:52Z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