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mqtemlwtpn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mqtemlwtpn</w:t>
      </w:r>
    </w:p>
    <w:p>
      <w:pPr>
        <w:pStyle w:val="BodyText"/>
      </w:pPr>
      <w:r>
        <w:t xml:space="preserve">Company: uhrtgotlls</w:t>
      </w:r>
    </w:p>
    <w:p>
      <w:pPr>
        <w:pStyle w:val="BodyText"/>
      </w:pPr>
      <w:r>
        <w:t xml:space="preserve">Senior Sustainability Consultant: eqirmdwpvn</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actual emissions may vary due to real-world complexities and data limitations.</w:t>
      </w:r>
    </w:p>
    <w:bookmarkEnd w:id="20"/>
    <w:bookmarkStart w:id="45" w:name="Xb623e260d3009d285b8709595afec94c515e4ef"/>
    <w:p>
      <w:pPr>
        <w:pStyle w:val="Heading1"/>
      </w:pPr>
      <w:r>
        <w:t xml:space="preserve">Product Carbon Footprint Analysis Report: mqtemlwtpn</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mqtemlwtpn</w:t>
      </w:r>
      <w:r>
        <w:t xml:space="preserve">, manufactured by</w:t>
      </w:r>
      <w:r>
        <w:t xml:space="preserve"> </w:t>
      </w:r>
      <w:r>
        <w:rPr>
          <w:bCs/>
          <w:b/>
        </w:rPr>
        <w:t xml:space="preserve">uhrtgotlls</w:t>
      </w:r>
      <w:r>
        <w:t xml:space="preserve">. The analysis, conducted by Senior Sustainability Consultant</w:t>
      </w:r>
      <w:r>
        <w:t xml:space="preserve"> </w:t>
      </w:r>
      <w:r>
        <w:rPr>
          <w:bCs/>
          <w:b/>
        </w:rPr>
        <w:t xml:space="preserve">eqirmdwpvn</w:t>
      </w:r>
      <w:r>
        <w:t xml:space="preserve">, adheres strictly to the GHG Protocol accounting standard, incorporating the 2026 Land Sector and Removals (LSR) update and ensuring comprehensive Scope 3 coverage. The total carbon footprint for one functional unit of mqtemlwtpn is calculated to be approximately</w:t>
      </w:r>
      <w:r>
        <w:t xml:space="preserve"> </w:t>
      </w:r>
      <w:r>
        <w:rPr>
          <w:bCs/>
          <w:b/>
        </w:rPr>
        <w:t xml:space="preserve">9.75 kg CO2e</w:t>
      </w:r>
      <w:r>
        <w:t xml:space="preserve">. Key emission hotspots include the production energy phase and the use phase, highlighting areas for future sustainability improvements.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w:t>
      </w:r>
      <w:r>
        <w:t xml:space="preserve"> </w:t>
      </w:r>
      <w:r>
        <w:rPr>
          <w:bCs/>
          <w:b/>
        </w:rPr>
        <w:t xml:space="preserve">mqtemlwtpn</w:t>
      </w:r>
      <w:r>
        <w:t xml:space="preserve"> </w:t>
      </w:r>
      <w:r>
        <w:t xml:space="preserve">has been meticulously defined to ensure consistency and comparability with GHG Protocol standards.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mqtemlwtpn. All emissions are calculated per this unit.</w:t>
      </w:r>
    </w:p>
    <w:p>
      <w:pPr>
        <w:numPr>
          <w:ilvl w:val="0"/>
          <w:numId w:val="1001"/>
        </w:numPr>
        <w:pStyle w:val="Compact"/>
      </w:pPr>
      <w:r>
        <w:rPr>
          <w:bCs/>
          <w:b/>
        </w:rPr>
        <w:t xml:space="preserve">System Boundary:</w:t>
      </w:r>
      <w:r>
        <w:t xml:space="preserve"> </w:t>
      </w:r>
      <w:r>
        <w:t xml:space="preserve">The system boundary for the core product manufacturing is set at</w:t>
      </w:r>
      <w:r>
        <w:t xml:space="preserve"> </w:t>
      </w:r>
      <w:r>
        <w:rPr>
          <w:bCs/>
          <w:b/>
        </w:rPr>
        <w:t xml:space="preserve">factory_gate</w:t>
      </w:r>
      <w:r>
        <w:t xml:space="preserve">. However, to provide a comprehensive life cycle perspective and adhere to the prompt\'s requirements, emissions from upstream raw material acquisition, manufacturing, transportation to point of sale, the use phase, and End-of-Life (EoL) scenarios are included as Scope 3 emissions.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the supply chain focus primarily on</w:t>
      </w:r>
      <w:r>
        <w:t xml:space="preserve"> </w:t>
      </w:r>
      <w:r>
        <w:rPr>
          <w:bCs/>
          <w:b/>
        </w:rPr>
        <w:t xml:space="preserve">Europe</w:t>
      </w:r>
      <w:r>
        <w:t xml:space="preserve">. Use phase emissions are assumed to occur within Europe.</w:t>
      </w:r>
    </w:p>
    <w:p>
      <w:pPr>
        <w:numPr>
          <w:ilvl w:val="0"/>
          <w:numId w:val="1001"/>
        </w:numPr>
        <w:pStyle w:val="Compact"/>
      </w:pPr>
      <w:r>
        <w:rPr>
          <w:bCs/>
          <w:b/>
        </w:rPr>
        <w:t xml:space="preserve">Accounting Standard:</w:t>
      </w:r>
      <w:r>
        <w:t xml:space="preserve"> </w:t>
      </w:r>
      <w:r>
        <w:t xml:space="preserve">This analysis strictly follows the</w:t>
      </w:r>
      <w:r>
        <w:t xml:space="preserve"> </w:t>
      </w:r>
      <w:r>
        <w:rPr>
          <w:bCs/>
          <w:b/>
        </w:rPr>
        <w:t xml:space="preserve">GHG Protocol Product Standard</w:t>
      </w:r>
      <w:r>
        <w:t xml:space="preserve">.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have been allocated based on mass where appropriate, adhering to GHG Protocol guidance on allocation methods.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mqtemlwtpn spans material acquisition, manufacturing, transportation, use, and end-of-life. Data collection involved both primary data (for the Bill of Materials and company-specific energy/logistics) and secondary data (for industry-average emission factors).</w:t>
      </w:r>
    </w:p>
    <w:bookmarkStart w:id="23" w:name="bill-of-materials-bom---material-inputs"/>
    <w:p>
      <w:pPr>
        <w:pStyle w:val="Heading3"/>
      </w:pPr>
      <w:r>
        <w:t xml:space="preserve">2.1. Bill of Materials (BOM) - Material Inputs</w:t>
      </w:r>
    </w:p>
    <w:p>
      <w:pPr>
        <w:pStyle w:val="FirstParagraph"/>
      </w:pPr>
      <w:r>
        <w:t xml:space="preserve">The following detailed Bill of Materials (BOM) was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Qty)</w:t>
            </w:r>
          </w:p>
        </w:tc>
        <w:tc>
          <w:tcPr/>
          <w:p>
            <w:pPr>
              <w:pStyle w:val="Compact"/>
              <w:jc w:val="left"/>
            </w:pPr>
            <w:r>
              <w:t xml:space="preserve">Total Carbon (kgCO2e)</w:t>
            </w:r>
          </w:p>
        </w:tc>
      </w:tr>
      <w:tr>
        <w:tc>
          <w:tcPr/>
          <w:p>
            <w:pPr>
              <w:pStyle w:val="Compact"/>
              <w:jc w:val="left"/>
            </w:pPr>
            <w:r>
              <w:t xml:space="preserve">P_001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M_001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P_002</w:t>
            </w:r>
          </w:p>
        </w:tc>
        <w:tc>
          <w:tcPr/>
          <w:p>
            <w:pPr>
              <w:pStyle w:val="Compact"/>
              <w:jc w:val="left"/>
            </w:pPr>
            <w:r>
              <w:t xml:space="preserve">Buttons</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p>
            <w:pPr>
              <w:pStyle w:val="Compact"/>
              <w:jc w:val="left"/>
            </w:pPr>
            <w:r>
              <w:t xml:space="preserve">M_002</w:t>
            </w:r>
          </w:p>
        </w:tc>
        <w:tc>
          <w:tcPr/>
          <w:p>
            <w:pPr>
              <w:pStyle w:val="Compact"/>
              <w:jc w:val="left"/>
            </w:pPr>
            <w:r>
              <w:t xml:space="preserve">Battery</w:t>
            </w:r>
          </w:p>
        </w:tc>
        <w:tc>
          <w:tcPr/>
          <w:p>
            <w:pPr>
              <w:pStyle w:val="Compact"/>
              <w:jc w:val="left"/>
            </w:pPr>
            <w:r>
              <w:t xml:space="preserve">Metal</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bl>
    <w:p>
      <w:pPr>
        <w:pStyle w:val="BodyText"/>
      </w:pPr>
      <w:r>
        <w:rPr>
          <w:bCs/>
          <w:b/>
        </w:rPr>
        <w:t xml:space="preserve">Total Product Weight:</w:t>
      </w:r>
      <w:r>
        <w:t xml:space="preserve"> </w:t>
      </w:r>
      <w:r>
        <w:t xml:space="preserve">0.67 kg</w:t>
      </w:r>
    </w:p>
    <w:p>
      <w:pPr>
        <w:pStyle w:val="BodyText"/>
      </w:pPr>
      <w:r>
        <w:rPr>
          <w:bCs/>
          <w:b/>
        </w:rPr>
        <w:t xml:space="preserve">Total Material Carbon Impact:</w:t>
      </w:r>
      <w:r>
        <w:t xml:space="preserve"> </w:t>
      </w:r>
      <w:r>
        <w:t xml:space="preserve">3.29 kg CO2e</w:t>
      </w:r>
    </w:p>
    <w:bookmarkEnd w:id="23"/>
    <w:bookmarkStart w:id="24"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10 kWh/unit</w:t>
      </w:r>
    </w:p>
    <w:p>
      <w:pPr>
        <w:numPr>
          <w:ilvl w:val="0"/>
          <w:numId w:val="1002"/>
        </w:numPr>
        <w:pStyle w:val="Compact"/>
      </w:pPr>
      <w:r>
        <w:rPr>
          <w:bCs/>
          <w:b/>
        </w:rPr>
        <w:t xml:space="preserve">Renewable Energy Usage:</w:t>
      </w:r>
      <w:r>
        <w:t xml:space="preserve"> </w:t>
      </w:r>
      <w:r>
        <w:t xml:space="preserve">40% (spyrohttdj)</w:t>
      </w:r>
    </w:p>
    <w:p>
      <w:pPr>
        <w:numPr>
          <w:ilvl w:val="0"/>
          <w:numId w:val="1002"/>
        </w:numPr>
        <w:pStyle w:val="Compact"/>
      </w:pPr>
      <w:r>
        <w:rPr>
          <w:bCs/>
          <w:b/>
        </w:rPr>
        <w:t xml:space="preserve">Non-Renewable Electricity (China Grid Mix assumption):</w:t>
      </w:r>
      <w:r>
        <w:t xml:space="preserve"> </w:t>
      </w:r>
      <w:r>
        <w:t xml:space="preserve">0.55 kg CO2e/kWh (assumed for production in China, based on common regional factors)</w:t>
      </w:r>
    </w:p>
    <w:bookmarkEnd w:id="24"/>
    <w:bookmarkStart w:id="25" w:name="logistics-data"/>
    <w:p>
      <w:pPr>
        <w:pStyle w:val="Heading3"/>
      </w:pPr>
      <w:r>
        <w:t xml:space="preserve">2.3. Logistics Data</w:t>
      </w:r>
    </w:p>
    <w:p>
      <w:pPr>
        <w:numPr>
          <w:ilvl w:val="0"/>
          <w:numId w:val="1003"/>
        </w:numPr>
        <w:pStyle w:val="Compact"/>
      </w:pPr>
      <w:r>
        <w:rPr>
          <w:bCs/>
          <w:b/>
        </w:rPr>
        <w:t xml:space="preserve">Transport Mode (Main Supply Chain):</w:t>
      </w:r>
      <w:r>
        <w:t xml:space="preserve"> </w:t>
      </w:r>
      <w:r>
        <w:t xml:space="preserve">Road Freight (HGV)</w:t>
      </w:r>
    </w:p>
    <w:p>
      <w:pPr>
        <w:numPr>
          <w:ilvl w:val="0"/>
          <w:numId w:val="1003"/>
        </w:numPr>
        <w:pStyle w:val="Compact"/>
      </w:pPr>
      <w:r>
        <w:rPr>
          <w:bCs/>
          <w:b/>
        </w:rPr>
        <w:t xml:space="preserve">Transport Distance (Main Supply Chain):</w:t>
      </w:r>
      <w:r>
        <w:t xml:space="preserve"> </w:t>
      </w:r>
      <w:r>
        <w:t xml:space="preserve">1500 km</w:t>
      </w:r>
    </w:p>
    <w:p>
      <w:pPr>
        <w:numPr>
          <w:ilvl w:val="0"/>
          <w:numId w:val="1003"/>
        </w:numPr>
        <w:pStyle w:val="Compact"/>
      </w:pPr>
      <w:r>
        <w:rPr>
          <w:bCs/>
          <w:b/>
        </w:rPr>
        <w:t xml:space="preserve">Last-Mile Delivery Channel:</w:t>
      </w:r>
      <w:r>
        <w:t xml:space="preserve"> </w:t>
      </w:r>
      <w:r>
        <w:t xml:space="preserve">Parcel Delivery Van</w:t>
      </w:r>
    </w:p>
    <w:p>
      <w:pPr>
        <w:numPr>
          <w:ilvl w:val="0"/>
          <w:numId w:val="1003"/>
        </w:numPr>
        <w:pStyle w:val="Compact"/>
      </w:pPr>
      <w:r>
        <w:rPr>
          <w:bCs/>
          <w:b/>
        </w:rPr>
        <w:t xml:space="preserve">Last-Mile Delivery Distance (assumption):</w:t>
      </w:r>
      <w:r>
        <w:t xml:space="preserve"> </w:t>
      </w:r>
      <w:r>
        <w:t xml:space="preserve">50 km per unit.</w:t>
      </w:r>
    </w:p>
    <w:p>
      <w:pPr>
        <w:numPr>
          <w:ilvl w:val="0"/>
          <w:numId w:val="1003"/>
        </w:numPr>
        <w:pStyle w:val="Compact"/>
      </w:pPr>
      <w:r>
        <w:rPr>
          <w:bCs/>
          <w:b/>
        </w:rPr>
        <w:t xml:space="preserve">Emission Factor for Road Freight (HGV, Europe):</w:t>
      </w:r>
      <w:r>
        <w:t xml:space="preserve"> </w:t>
      </w:r>
      <w:r>
        <w:t xml:space="preserve">0.06 kg CO2e/tonne-km</w:t>
      </w:r>
    </w:p>
    <w:p>
      <w:pPr>
        <w:numPr>
          <w:ilvl w:val="0"/>
          <w:numId w:val="1003"/>
        </w:numPr>
        <w:pStyle w:val="Compact"/>
      </w:pPr>
      <w:r>
        <w:rPr>
          <w:bCs/>
          <w:b/>
        </w:rPr>
        <w:t xml:space="preserve">Emission Factor for Parcel Delivery Van:</w:t>
      </w:r>
      <w:r>
        <w:t xml:space="preserve"> </w:t>
      </w:r>
      <w:r>
        <w:t xml:space="preserve">0.25 kg CO2e/km (assuming 100 units per trip for allocation)</w:t>
      </w:r>
    </w:p>
    <w:bookmarkEnd w:id="25"/>
    <w:bookmarkStart w:id="26"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3 years (uypxymqumm)</w:t>
      </w:r>
    </w:p>
    <w:p>
      <w:pPr>
        <w:numPr>
          <w:ilvl w:val="0"/>
          <w:numId w:val="1004"/>
        </w:numPr>
        <w:pStyle w:val="Compact"/>
      </w:pPr>
      <w:r>
        <w:rPr>
          <w:bCs/>
          <w:b/>
        </w:rPr>
        <w:t xml:space="preserve">Energy Consumption in Use:</w:t>
      </w:r>
      <w:r>
        <w:t xml:space="preserve"> </w:t>
      </w:r>
      <w:r>
        <w:t xml:space="preserve">5 kWh/year (omhmnuzmfm)</w:t>
      </w:r>
    </w:p>
    <w:p>
      <w:pPr>
        <w:numPr>
          <w:ilvl w:val="0"/>
          <w:numId w:val="1004"/>
        </w:numPr>
        <w:pStyle w:val="Compact"/>
      </w:pPr>
      <w:r>
        <w:rPr>
          <w:bCs/>
          <w:b/>
        </w:rPr>
        <w:t xml:space="preserve">Electricity Grid Mix (Europe assumption):</w:t>
      </w:r>
      <w:r>
        <w:t xml:space="preserve"> </w:t>
      </w:r>
      <w:r>
        <w:t xml:space="preserve">0.26 kg CO2e/kWh</w:t>
      </w:r>
    </w:p>
    <w:bookmarkEnd w:id="26"/>
    <w:bookmarkStart w:id="27"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70% (ulhjftkuwn)</w:t>
      </w:r>
    </w:p>
    <w:p>
      <w:pPr>
        <w:numPr>
          <w:ilvl w:val="0"/>
          <w:numId w:val="1005"/>
        </w:numPr>
        <w:pStyle w:val="Compact"/>
      </w:pPr>
      <w:r>
        <w:rPr>
          <w:bCs/>
          <w:b/>
        </w:rPr>
        <w:t xml:space="preserve">Circular/Take-back Programs:</w:t>
      </w:r>
      <w:r>
        <w:t xml:space="preserve"> </w:t>
      </w:r>
      <w:r>
        <w:t xml:space="preserve">Company offers a take-back program to facilitate product return and recycling. (vlxyohwpvh)</w:t>
      </w:r>
    </w:p>
    <w:p>
      <w:pPr>
        <w:numPr>
          <w:ilvl w:val="0"/>
          <w:numId w:val="1005"/>
        </w:numPr>
        <w:pStyle w:val="Compact"/>
      </w:pPr>
      <w:r>
        <w:rPr>
          <w:bCs/>
          <w:b/>
        </w:rPr>
        <w:t xml:space="preserve">Emission Factor for Landfill (Plastic):</w:t>
      </w:r>
      <w:r>
        <w:t xml:space="preserve"> </w:t>
      </w:r>
      <w:r>
        <w:t xml:space="preserve">0.033 kg CO2e/kg</w:t>
      </w:r>
    </w:p>
    <w:p>
      <w:pPr>
        <w:numPr>
          <w:ilvl w:val="0"/>
          <w:numId w:val="1005"/>
        </w:numPr>
        <w:pStyle w:val="Compact"/>
      </w:pPr>
      <w:r>
        <w:rPr>
          <w:bCs/>
          <w:b/>
        </w:rPr>
        <w:t xml:space="preserve">Assumed Virgin Plastic Emission Factor (for recycling credit):</w:t>
      </w:r>
      <w:r>
        <w:t xml:space="preserve"> </w:t>
      </w:r>
      <w:r>
        <w:t xml:space="preserve">2.5 kg CO2e/kg</w:t>
      </w:r>
    </w:p>
    <w:p>
      <w:pPr>
        <w:numPr>
          <w:ilvl w:val="0"/>
          <w:numId w:val="1005"/>
        </w:numPr>
        <w:pStyle w:val="Compact"/>
      </w:pPr>
      <w:r>
        <w:rPr>
          <w:bCs/>
          <w:b/>
        </w:rPr>
        <w:t xml:space="preserve">Assumed Recycling Process Emission Factor (for plastic):</w:t>
      </w:r>
      <w:r>
        <w:t xml:space="preserve"> </w:t>
      </w:r>
      <w:r>
        <w:t xml:space="preserve">0.5 kg CO2e/kg</w:t>
      </w:r>
    </w:p>
    <w:p>
      <w:r>
        <w:pict>
          <v:rect style="width:0;height:1.5pt" o:hralign="center" o:hrstd="t" o:hr="t"/>
        </w:pict>
      </w:r>
    </w:p>
    <w:bookmarkEnd w:id="27"/>
    <w:bookmarkEnd w:id="28"/>
    <w:bookmarkStart w:id="40" w:name="calculate-emissions"/>
    <w:p>
      <w:pPr>
        <w:pStyle w:val="Heading2"/>
      </w:pPr>
      <w:r>
        <w:t xml:space="preserve">4. Calculate Emissions</w:t>
      </w:r>
    </w:p>
    <w:p>
      <w:pPr>
        <w:pStyle w:val="FirstParagraph"/>
      </w:pPr>
      <w:r>
        <w:t xml:space="preserve">Emissions are calculated using the formula: Activity Data × Emission Factor = CO2e. All calculations adhere to the GHG Protocol\'s guidance for categorizing emissions into scopes.</w:t>
      </w:r>
    </w:p>
    <w:bookmarkStart w:id="29" w:name="scope-1-emissions-direct-emissions"/>
    <w:p>
      <w:pPr>
        <w:pStyle w:val="Heading3"/>
      </w:pPr>
      <w:r>
        <w:t xml:space="preserve">4.1. Scope 1 Emissions (Direct Emissions)</w:t>
      </w:r>
    </w:p>
    <w:p>
      <w:pPr>
        <w:pStyle w:val="FirstParagraph"/>
      </w:pPr>
      <w:r>
        <w:t xml:space="preserve">Based on the "factory_gate" system boundary and provided data, no direct (Scope 1) emissions from owned or controlled sources of</w:t>
      </w:r>
      <w:r>
        <w:t xml:space="preserve"> </w:t>
      </w:r>
      <w:r>
        <w:rPr>
          <w:bCs/>
          <w:b/>
        </w:rPr>
        <w:t xml:space="preserve">uhrtgotlls</w:t>
      </w:r>
      <w:r>
        <w:t xml:space="preserve"> </w:t>
      </w:r>
      <w:r>
        <w:t xml:space="preserve">for the manufacturing of mqtemlwtpn are reported in this PCF analysis. Any direct fuel combustion on site would typically fall under this scope but is not specified for this product.</w:t>
      </w:r>
    </w:p>
    <w:bookmarkEnd w:id="29"/>
    <w:bookmarkStart w:id="30" w:name="scope-2-emissions-purchased-electricity"/>
    <w:p>
      <w:pPr>
        <w:pStyle w:val="Heading3"/>
      </w:pPr>
      <w:r>
        <w:t xml:space="preserve">4.2. Scope 2 Emissions (Purchased Electricity)</w:t>
      </w:r>
    </w:p>
    <w:p>
      <w:pPr>
        <w:pStyle w:val="FirstParagraph"/>
      </w:pPr>
      <w:r>
        <w:t xml:space="preserve">Scope 2 emissions account for greenhouse gases released from the generation of purchased electricity consumed by</w:t>
      </w:r>
      <w:r>
        <w:t xml:space="preserve"> </w:t>
      </w:r>
      <w:r>
        <w:rPr>
          <w:bCs/>
          <w:b/>
        </w:rPr>
        <w:t xml:space="preserve">uhrtgotlls</w:t>
      </w:r>
      <w:r>
        <w:t xml:space="preserve"> </w:t>
      </w:r>
      <w:r>
        <w:t xml:space="preserve">for the production of mqtemlwtpn.</w:t>
      </w:r>
    </w:p>
    <w:p>
      <w:pPr>
        <w:numPr>
          <w:ilvl w:val="0"/>
          <w:numId w:val="1006"/>
        </w:numPr>
        <w:pStyle w:val="Compact"/>
      </w:pPr>
      <w:r>
        <w:t xml:space="preserve">Total Energy Intensity: 10 kWh/unit</w:t>
      </w:r>
    </w:p>
    <w:p>
      <w:pPr>
        <w:numPr>
          <w:ilvl w:val="0"/>
          <w:numId w:val="1006"/>
        </w:numPr>
        <w:pStyle w:val="Compact"/>
      </w:pPr>
      <w:r>
        <w:t xml:space="preserve">Renewable Energy Usage: 40%</w:t>
      </w:r>
    </w:p>
    <w:p>
      <w:pPr>
        <w:numPr>
          <w:ilvl w:val="0"/>
          <w:numId w:val="1006"/>
        </w:numPr>
        <w:pStyle w:val="Compact"/>
      </w:pPr>
      <w:r>
        <w:t xml:space="preserve">Non-Renewable Electricity: 10 kWh * (1 - 0.40) = 6 kWh</w:t>
      </w:r>
    </w:p>
    <w:p>
      <w:pPr>
        <w:numPr>
          <w:ilvl w:val="0"/>
          <w:numId w:val="1006"/>
        </w:numPr>
        <w:pStyle w:val="Compact"/>
      </w:pPr>
      <w:r>
        <w:t xml:space="preserve">China Grid Emission Factor: 0.55 kg CO2e/kWh (assumed for production in China)</w:t>
      </w:r>
    </w:p>
    <w:p>
      <w:pPr>
        <w:numPr>
          <w:ilvl w:val="0"/>
          <w:numId w:val="1006"/>
        </w:numPr>
        <w:pStyle w:val="Compact"/>
      </w:pPr>
      <w:r>
        <w:rPr>
          <w:bCs/>
          <w:b/>
        </w:rPr>
        <w:t xml:space="preserve">Calculated Scope 2 Emissions:</w:t>
      </w:r>
      <w:r>
        <w:t xml:space="preserve"> </w:t>
      </w:r>
      <w:r>
        <w:t xml:space="preserve">6 kWh * 0.55 kg CO2e/kWh =</w:t>
      </w:r>
      <w:r>
        <w:t xml:space="preserve"> </w:t>
      </w:r>
      <w:r>
        <w:rPr>
          <w:bCs/>
          <w:b/>
        </w:rPr>
        <w:t xml:space="preserve">3.30 kg CO2e</w:t>
      </w:r>
    </w:p>
    <w:bookmarkEnd w:id="30"/>
    <w:bookmarkStart w:id="38" w:name="scope-3-emissions-value-chain"/>
    <w:p>
      <w:pPr>
        <w:pStyle w:val="Heading3"/>
      </w:pPr>
      <w:r>
        <w:t xml:space="preserve">4.3. Scope 3 Emissions (Value Chain)</w:t>
      </w:r>
    </w:p>
    <w:p>
      <w:pPr>
        <w:pStyle w:val="FirstParagraph"/>
      </w:pPr>
      <w:r>
        <w:t xml:space="preserve">Scope 3 emissions encompass all other indirect emissions both upstream and downstream in the product\'s value chain. This report ensures at least 95% coverage for Scope 3 reporting, in line with 2026 requirements, by including materials, transport, use phase, and end-of-life.</w:t>
      </w:r>
    </w:p>
    <w:bookmarkStart w:id="33" w:name="upstream-emissions"/>
    <w:p>
      <w:pPr>
        <w:pStyle w:val="Heading4"/>
      </w:pPr>
      <w:r>
        <w:t xml:space="preserve">4.3.1. Upstream Emissions</w:t>
      </w:r>
    </w:p>
    <w:bookmarkStart w:id="31" w:name="X38a82d80890db1cbc430cecb4559b4fb1971a39"/>
    <w:p>
      <w:pPr>
        <w:pStyle w:val="Heading5"/>
      </w:pPr>
      <w:r>
        <w:t xml:space="preserve">Materials Acquisition &amp; Processing (Category 1)</w:t>
      </w:r>
    </w:p>
    <w:p>
      <w:pPr>
        <w:numPr>
          <w:ilvl w:val="0"/>
          <w:numId w:val="1007"/>
        </w:numPr>
        <w:pStyle w:val="Compact"/>
      </w:pPr>
      <w:r>
        <w:t xml:space="preserve">Total Material Carbon from BOM:</w:t>
      </w:r>
      <w:r>
        <w:t xml:space="preserve"> </w:t>
      </w:r>
      <w:r>
        <w:rPr>
          <w:bCs/>
          <w:b/>
        </w:rPr>
        <w:t xml:space="preserve">3.29 kg CO2e</w:t>
      </w:r>
    </w:p>
    <w:bookmarkEnd w:id="31"/>
    <w:bookmarkStart w:id="32" w:name="X1ba14597aa58affb2f1bc7a69940c64f4addd9d"/>
    <w:p>
      <w:pPr>
        <w:pStyle w:val="Heading5"/>
      </w:pPr>
      <w:r>
        <w:t xml:space="preserve">Upstream Transportation and Distribution (Category 4)</w:t>
      </w:r>
    </w:p>
    <w:p>
      <w:pPr>
        <w:numPr>
          <w:ilvl w:val="0"/>
          <w:numId w:val="1008"/>
        </w:numPr>
        <w:pStyle w:val="Compact"/>
      </w:pPr>
      <w:r>
        <w:t xml:space="preserve">Product Weight: 0.67 kg (0.00067 tonnes)</w:t>
      </w:r>
    </w:p>
    <w:p>
      <w:pPr>
        <w:numPr>
          <w:ilvl w:val="0"/>
          <w:numId w:val="1008"/>
        </w:numPr>
        <w:pStyle w:val="Compact"/>
      </w:pPr>
      <w:r>
        <w:t xml:space="preserve">Transport Distance (Main): 1500 km</w:t>
      </w:r>
    </w:p>
    <w:p>
      <w:pPr>
        <w:numPr>
          <w:ilvl w:val="0"/>
          <w:numId w:val="1008"/>
        </w:numPr>
        <w:pStyle w:val="Compact"/>
      </w:pPr>
      <w:r>
        <w:t xml:space="preserve">Emission Factor (Road Freight HGV, Europe): 0.06 kg CO2e/tonne-km</w:t>
      </w:r>
    </w:p>
    <w:p>
      <w:pPr>
        <w:numPr>
          <w:ilvl w:val="0"/>
          <w:numId w:val="1008"/>
        </w:numPr>
        <w:pStyle w:val="Compact"/>
      </w:pPr>
      <w:r>
        <w:rPr>
          <w:bCs/>
          <w:b/>
        </w:rPr>
        <w:t xml:space="preserve">Calculated Upstream Transport Emissions:</w:t>
      </w:r>
      <w:r>
        <w:t xml:space="preserve"> </w:t>
      </w:r>
      <w:r>
        <w:t xml:space="preserve">0.00067 tonnes * 1500 km * 0.06 kg CO2e/tonne-km =</w:t>
      </w:r>
      <w:r>
        <w:t xml:space="preserve"> </w:t>
      </w:r>
      <w:r>
        <w:rPr>
          <w:bCs/>
          <w:b/>
        </w:rPr>
        <w:t xml:space="preserve">0.0603 kg CO2e</w:t>
      </w:r>
    </w:p>
    <w:bookmarkEnd w:id="32"/>
    <w:bookmarkEnd w:id="33"/>
    <w:bookmarkStart w:id="37" w:name="downstream-emissions"/>
    <w:p>
      <w:pPr>
        <w:pStyle w:val="Heading4"/>
      </w:pPr>
      <w:r>
        <w:t xml:space="preserve">4.3.2. Downstream Emissions</w:t>
      </w:r>
    </w:p>
    <w:bookmarkStart w:id="34" w:name="X269fc5f2d8901bf5e008e47915009d2c2dfea50"/>
    <w:p>
      <w:pPr>
        <w:pStyle w:val="Heading5"/>
      </w:pPr>
      <w:r>
        <w:t xml:space="preserve">Downstream Transportation and Distribution (Category 9 - Last-Mile)</w:t>
      </w:r>
    </w:p>
    <w:p>
      <w:pPr>
        <w:pStyle w:val="FirstParagraph"/>
      </w:pPr>
      <w:r>
        <w:t xml:space="preserve">Emissions from the final delivery to the end-user.</w:t>
      </w:r>
    </w:p>
    <w:p>
      <w:pPr>
        <w:numPr>
          <w:ilvl w:val="0"/>
          <w:numId w:val="1009"/>
        </w:numPr>
        <w:pStyle w:val="Compact"/>
      </w:pPr>
      <w:r>
        <w:t xml:space="preserve">Last-Mile Distance: 50 km (assumption)</w:t>
      </w:r>
    </w:p>
    <w:p>
      <w:pPr>
        <w:numPr>
          <w:ilvl w:val="0"/>
          <w:numId w:val="1009"/>
        </w:numPr>
        <w:pStyle w:val="Compact"/>
      </w:pPr>
      <w:r>
        <w:t xml:space="preserve">Emission Factor (Parcel Delivery Van): 0.25 kg CO2e/km</w:t>
      </w:r>
    </w:p>
    <w:p>
      <w:pPr>
        <w:numPr>
          <w:ilvl w:val="0"/>
          <w:numId w:val="1009"/>
        </w:numPr>
        <w:pStyle w:val="Compact"/>
      </w:pPr>
      <w:r>
        <w:t xml:space="preserve">Allocation (assuming 100 units per van trip): (50 km * 0.25 kg CO2e/km) / 100 units = 0.125 kg CO2e/unit</w:t>
      </w:r>
    </w:p>
    <w:p>
      <w:pPr>
        <w:numPr>
          <w:ilvl w:val="0"/>
          <w:numId w:val="1009"/>
        </w:numPr>
        <w:pStyle w:val="Compact"/>
      </w:pPr>
      <w:r>
        <w:rPr>
          <w:bCs/>
          <w:b/>
        </w:rPr>
        <w:t xml:space="preserve">Calculated Last-Mile Delivery Emissions:</w:t>
      </w:r>
      <w:r>
        <w:t xml:space="preserve"> </w:t>
      </w:r>
      <w:r>
        <w:rPr>
          <w:bCs/>
          <w:b/>
        </w:rPr>
        <w:t xml:space="preserve">0.13 kg CO2e</w:t>
      </w:r>
      <w:r>
        <w:t xml:space="preserve"> </w:t>
      </w:r>
      <w:r>
        <w:t xml:space="preserve">(rounded)</w:t>
      </w:r>
    </w:p>
    <w:bookmarkEnd w:id="34"/>
    <w:bookmarkStart w:id="35" w:name="use-of-sold-products-category-11"/>
    <w:p>
      <w:pPr>
        <w:pStyle w:val="Heading5"/>
      </w:pPr>
      <w:r>
        <w:t xml:space="preserve">Use of Sold Products (Category 11)</w:t>
      </w:r>
    </w:p>
    <w:p>
      <w:pPr>
        <w:pStyle w:val="FirstParagraph"/>
      </w:pPr>
      <w:r>
        <w:t xml:space="preserve">Emissions from energy consumption during the product\'s lifespan.</w:t>
      </w:r>
    </w:p>
    <w:p>
      <w:pPr>
        <w:numPr>
          <w:ilvl w:val="0"/>
          <w:numId w:val="1010"/>
        </w:numPr>
        <w:pStyle w:val="Compact"/>
      </w:pPr>
      <w:r>
        <w:t xml:space="preserve">Product Lifespan: 3 years</w:t>
      </w:r>
    </w:p>
    <w:p>
      <w:pPr>
        <w:numPr>
          <w:ilvl w:val="0"/>
          <w:numId w:val="1010"/>
        </w:numPr>
        <w:pStyle w:val="Compact"/>
      </w:pPr>
      <w:r>
        <w:t xml:space="preserve">Energy Consumption in Use: 5 kWh/year</w:t>
      </w:r>
    </w:p>
    <w:p>
      <w:pPr>
        <w:numPr>
          <w:ilvl w:val="0"/>
          <w:numId w:val="1010"/>
        </w:numPr>
        <w:pStyle w:val="Compact"/>
      </w:pPr>
      <w:r>
        <w:t xml:space="preserve">Total Energy Consumption: 3 years * 5 kWh/year = 15 kWh</w:t>
      </w:r>
    </w:p>
    <w:p>
      <w:pPr>
        <w:numPr>
          <w:ilvl w:val="0"/>
          <w:numId w:val="1010"/>
        </w:numPr>
        <w:pStyle w:val="Compact"/>
      </w:pPr>
      <w:r>
        <w:t xml:space="preserve">Europe Grid Emission Factor: 0.26 kg CO2e/kWh</w:t>
      </w:r>
    </w:p>
    <w:p>
      <w:pPr>
        <w:numPr>
          <w:ilvl w:val="0"/>
          <w:numId w:val="1010"/>
        </w:numPr>
        <w:pStyle w:val="Compact"/>
      </w:pPr>
      <w:r>
        <w:rPr>
          <w:bCs/>
          <w:b/>
        </w:rPr>
        <w:t xml:space="preserve">Calculated Use Phase Emissions:</w:t>
      </w:r>
      <w:r>
        <w:t xml:space="preserve"> </w:t>
      </w:r>
      <w:r>
        <w:t xml:space="preserve">15 kWh * 0.26 kg CO2e/kWh =</w:t>
      </w:r>
      <w:r>
        <w:t xml:space="preserve"> </w:t>
      </w:r>
      <w:r>
        <w:rPr>
          <w:bCs/>
          <w:b/>
        </w:rPr>
        <w:t xml:space="preserve">3.90 kg CO2e</w:t>
      </w:r>
    </w:p>
    <w:bookmarkEnd w:id="35"/>
    <w:bookmarkStart w:id="36" w:name="X7eecd0528a4129578e12f0f82acdf78ed4201e7"/>
    <w:p>
      <w:pPr>
        <w:pStyle w:val="Heading5"/>
      </w:pPr>
      <w:r>
        <w:t xml:space="preserve">End-of-Life Treatment of Sold Products (Category 12)</w:t>
      </w:r>
    </w:p>
    <w:p>
      <w:pPr>
        <w:pStyle w:val="FirstParagraph"/>
      </w:pPr>
      <w:r>
        <w:t xml:space="preserve">Emissions and credits associated with the disposal and recycling of the product.</w:t>
      </w:r>
    </w:p>
    <w:p>
      <w:pPr>
        <w:numPr>
          <w:ilvl w:val="0"/>
          <w:numId w:val="1011"/>
        </w:numPr>
        <w:pStyle w:val="Compact"/>
      </w:pPr>
      <w:r>
        <w:t xml:space="preserve">Product Weight: 0.67 kg</w:t>
      </w:r>
    </w:p>
    <w:p>
      <w:pPr>
        <w:numPr>
          <w:ilvl w:val="0"/>
          <w:numId w:val="1011"/>
        </w:numPr>
        <w:pStyle w:val="Compact"/>
      </w:pPr>
      <w:r>
        <w:t xml:space="preserve">Recyclability Percentage: 70%</w:t>
      </w:r>
    </w:p>
    <w:p>
      <w:pPr>
        <w:numPr>
          <w:ilvl w:val="0"/>
          <w:numId w:val="1011"/>
        </w:numPr>
        <w:pStyle w:val="Compact"/>
      </w:pPr>
      <w:r>
        <w:t xml:space="preserve">Landfilled Portion: (1 - 0.70) * 0.67 kg = 0.201 kg</w:t>
      </w:r>
    </w:p>
    <w:p>
      <w:pPr>
        <w:numPr>
          <w:ilvl w:val="0"/>
          <w:numId w:val="1011"/>
        </w:numPr>
        <w:pStyle w:val="Compact"/>
      </w:pPr>
      <w:r>
        <w:t xml:space="preserve">Recycled Portion: 0.70 * 0.67 kg = 0.469 kg</w:t>
      </w:r>
    </w:p>
    <w:p>
      <w:pPr>
        <w:numPr>
          <w:ilvl w:val="0"/>
          <w:numId w:val="1011"/>
        </w:numPr>
        <w:pStyle w:val="Compact"/>
      </w:pPr>
      <w:r>
        <w:t xml:space="preserve">Landfill Emission Factor (Plastic): 0.033 kg CO2e/kg</w:t>
      </w:r>
    </w:p>
    <w:p>
      <w:pPr>
        <w:numPr>
          <w:ilvl w:val="0"/>
          <w:numId w:val="1011"/>
        </w:numPr>
        <w:pStyle w:val="Compact"/>
      </w:pPr>
      <w:r>
        <w:t xml:space="preserve">Recycling Credit Calculation:</w:t>
      </w:r>
    </w:p>
    <w:p>
      <w:pPr>
        <w:numPr>
          <w:ilvl w:val="1"/>
          <w:numId w:val="1012"/>
        </w:numPr>
        <w:pStyle w:val="Compact"/>
      </w:pPr>
      <w:r>
        <w:t xml:space="preserve">Assumed Virgin Plastic Emission Factor: 2.5 kg CO2e/kg</w:t>
      </w:r>
    </w:p>
    <w:p>
      <w:pPr>
        <w:numPr>
          <w:ilvl w:val="1"/>
          <w:numId w:val="1012"/>
        </w:numPr>
        <w:pStyle w:val="Compact"/>
      </w:pPr>
      <w:r>
        <w:t xml:space="preserve">Assumed Recycling Process Emission Factor: 0.5 kg CO2e/kg</w:t>
      </w:r>
    </w:p>
    <w:p>
      <w:pPr>
        <w:numPr>
          <w:ilvl w:val="1"/>
          <w:numId w:val="1012"/>
        </w:numPr>
        <w:pStyle w:val="Compact"/>
      </w:pPr>
      <w:r>
        <w:t xml:space="preserve">Avoided Emissions per kg recycled = 2.5 - 0.5 = 2.0 kg CO2e/kg</w:t>
      </w:r>
    </w:p>
    <w:p>
      <w:pPr>
        <w:numPr>
          <w:ilvl w:val="1"/>
          <w:numId w:val="1012"/>
        </w:numPr>
        <w:pStyle w:val="Compact"/>
      </w:pPr>
      <w:r>
        <w:t xml:space="preserve">Credit for Recycled Portion: -0.469 kg * 2.0 kg CO2e/kg = -0.938 kg CO2e</w:t>
      </w:r>
    </w:p>
    <w:p>
      <w:pPr>
        <w:numPr>
          <w:ilvl w:val="0"/>
          <w:numId w:val="1011"/>
        </w:numPr>
        <w:pStyle w:val="Compact"/>
      </w:pPr>
      <w:r>
        <w:rPr>
          <w:bCs/>
          <w:b/>
        </w:rPr>
        <w:t xml:space="preserve">Calculated EoL Emissions:</w:t>
      </w:r>
      <w:r>
        <w:t xml:space="preserve"> </w:t>
      </w:r>
      <w:r>
        <w:t xml:space="preserve">(0.201 kg * 0.033 kg CO2e/kg) - 0.938 kg CO2e = 0.006633 kg CO2e - 0.938 kg CO2e =</w:t>
      </w:r>
      <w:r>
        <w:t xml:space="preserve"> </w:t>
      </w:r>
      <w:r>
        <w:rPr>
          <w:bCs/>
          <w:b/>
        </w:rPr>
        <w:t xml:space="preserve">-0.93 kg CO2e</w:t>
      </w:r>
      <w:r>
        <w:t xml:space="preserve"> </w:t>
      </w:r>
      <w:r>
        <w:t xml:space="preserve">(rounded)</w:t>
      </w:r>
    </w:p>
    <w:bookmarkEnd w:id="36"/>
    <w:bookmarkEnd w:id="37"/>
    <w:bookmarkEnd w:id="38"/>
    <w:bookmarkStart w:id="39" w:name="overall-product-carbon-footprint-summary"/>
    <w:p>
      <w:pPr>
        <w:pStyle w:val="Heading3"/>
      </w:pPr>
      <w:r>
        <w:t xml:space="preserve">4.4. Overall Product Carbon Footprint Summary</w:t>
      </w:r>
    </w:p>
    <w:p>
      <w:pPr>
        <w:pStyle w:val="FirstParagraph"/>
      </w:pPr>
      <w:r>
        <w:t xml:space="preserve">The total carbon footprint for one functional unit of mqtemlwtpn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Source Category</w:t>
            </w:r>
          </w:p>
        </w:tc>
        <w:tc>
          <w:tcPr/>
          <w:p>
            <w:pPr>
              <w:pStyle w:val="Compact"/>
              <w:jc w:val="left"/>
            </w:pPr>
            <w:r>
              <w:t xml:space="preserve">GHG Scope</w:t>
            </w:r>
          </w:p>
        </w:tc>
        <w:tc>
          <w:tcPr/>
          <w:p>
            <w:pPr>
              <w:pStyle w:val="Compact"/>
              <w:jc w:val="left"/>
            </w:pPr>
            <w:r>
              <w:t xml:space="preserve">CO2e (kg per unit)</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3.29</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3.30</w:t>
            </w:r>
          </w:p>
        </w:tc>
      </w:tr>
      <w:tr>
        <w:tc>
          <w:tcPr/>
          <w:p>
            <w:pPr>
              <w:pStyle w:val="Compact"/>
              <w:jc w:val="left"/>
            </w:pPr>
            <w:r>
              <w:t xml:space="preserve">Upstream Transportation and Distribution</w:t>
            </w:r>
          </w:p>
        </w:tc>
        <w:tc>
          <w:tcPr/>
          <w:p>
            <w:pPr>
              <w:pStyle w:val="Compact"/>
              <w:jc w:val="left"/>
            </w:pPr>
            <w:r>
              <w:t xml:space="preserve">Scope 3 (Upstream)</w:t>
            </w:r>
          </w:p>
        </w:tc>
        <w:tc>
          <w:tcPr/>
          <w:p>
            <w:pPr>
              <w:pStyle w:val="Compact"/>
              <w:jc w:val="left"/>
            </w:pPr>
            <w:r>
              <w:t xml:space="preserve">0.06</w:t>
            </w:r>
          </w:p>
        </w:tc>
      </w:tr>
      <w:tr>
        <w:tc>
          <w:tcPr/>
          <w:p>
            <w:pPr>
              <w:pStyle w:val="Compact"/>
              <w:jc w:val="left"/>
            </w:pPr>
            <w:r>
              <w:t xml:space="preserve">Downstream Transportation and Distribution (Last-Mile)</w:t>
            </w:r>
          </w:p>
        </w:tc>
        <w:tc>
          <w:tcPr/>
          <w:p>
            <w:pPr>
              <w:pStyle w:val="Compact"/>
              <w:jc w:val="left"/>
            </w:pPr>
            <w:r>
              <w:t xml:space="preserve">Scope 3 (Downstream)</w:t>
            </w:r>
          </w:p>
        </w:tc>
        <w:tc>
          <w:tcPr/>
          <w:p>
            <w:pPr>
              <w:pStyle w:val="Compact"/>
              <w:jc w:val="left"/>
            </w:pPr>
            <w:r>
              <w:t xml:space="preserve">0.13</w:t>
            </w:r>
          </w:p>
        </w:tc>
      </w:tr>
      <w:tr>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3.90</w:t>
            </w:r>
          </w:p>
        </w:tc>
      </w:tr>
      <w:tr>
        <w:tc>
          <w:tcPr/>
          <w:p>
            <w:pPr>
              <w:pStyle w:val="Compact"/>
              <w:jc w:val="left"/>
            </w:pPr>
            <w:r>
              <w:t xml:space="preserve">End-of-Life Treatment of Sold Products</w:t>
            </w:r>
          </w:p>
        </w:tc>
        <w:tc>
          <w:tcPr/>
          <w:p>
            <w:pPr>
              <w:pStyle w:val="Compact"/>
              <w:jc w:val="left"/>
            </w:pPr>
            <w:r>
              <w:t xml:space="preserve">Scope 3 (Downstream)</w:t>
            </w:r>
          </w:p>
        </w:tc>
        <w:tc>
          <w:tcPr/>
          <w:p>
            <w:pPr>
              <w:pStyle w:val="Compact"/>
              <w:jc w:val="left"/>
            </w:pPr>
            <w:r>
              <w:t xml:space="preserve">-0.93</w:t>
            </w:r>
          </w:p>
        </w:tc>
      </w:tr>
      <w:tr>
        <w:tc>
          <w:tcPr>
            <w:gridSpan w:val="2"/>
          </w:tcPr>
          <w:p>
            <w:pPr>
              <w:pStyle w:val="Compact"/>
              <w:jc w:val="right"/>
            </w:pPr>
            <w:r>
              <w:t xml:space="preserve">Total Product Carbon Footprint</w:t>
            </w:r>
          </w:p>
        </w:tc>
        <w:tc>
          <w:tcPr/>
          <w:p>
            <w:pPr>
              <w:pStyle w:val="Compact"/>
              <w:jc w:val="left"/>
            </w:pPr>
            <w:r>
              <w:t xml:space="preserve">9.75</w:t>
            </w:r>
          </w:p>
        </w:tc>
      </w:tr>
    </w:tbl>
    <w:p>
      <w:pPr>
        <w:pStyle w:val="BodyText"/>
      </w:pPr>
      <w:r>
        <w:rPr>
          <w:iCs/>
          <w:i/>
        </w:rPr>
        <w:t xml:space="preserve">Note: Totals may vary slightly due to rounding.</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identifies the following primary emission hotspots for</w:t>
      </w:r>
      <w:r>
        <w:t xml:space="preserve"> </w:t>
      </w:r>
      <w:r>
        <w:rPr>
          <w:bCs/>
          <w:b/>
        </w:rPr>
        <w:t xml:space="preserve">mqtemlwtpn</w:t>
      </w:r>
      <w:r>
        <w:t xml:space="preserve">:</w:t>
      </w:r>
    </w:p>
    <w:p>
      <w:pPr>
        <w:numPr>
          <w:ilvl w:val="0"/>
          <w:numId w:val="1013"/>
        </w:numPr>
        <w:pStyle w:val="Compact"/>
      </w:pPr>
      <w:r>
        <w:rPr>
          <w:bCs/>
          <w:b/>
        </w:rPr>
        <w:t xml:space="preserve">Use Phase (3.90 kg CO2e):</w:t>
      </w:r>
      <w:r>
        <w:t xml:space="preserve"> </w:t>
      </w:r>
      <w:r>
        <w:t xml:space="preserve">The energy consumption during the product\'s 3-year lifespan is a significant contributor, accounting for approximately 40% of the total footprint. This suggests that improving energy efficiency during product operation or shifting to renewable energy sources for end-users could yield substantial reductions.</w:t>
      </w:r>
    </w:p>
    <w:p>
      <w:pPr>
        <w:numPr>
          <w:ilvl w:val="0"/>
          <w:numId w:val="1013"/>
        </w:numPr>
        <w:pStyle w:val="Compact"/>
      </w:pPr>
      <w:r>
        <w:rPr>
          <w:bCs/>
          <w:b/>
        </w:rPr>
        <w:t xml:space="preserve">Production Energy (3.30 kg CO2e):</w:t>
      </w:r>
      <w:r>
        <w:t xml:space="preserve"> </w:t>
      </w:r>
      <w:r>
        <w:t xml:space="preserve">Electricity consumption during manufacturing, particularly from the non-renewable portion of the grid mix in China, represents about 34% of the total footprint. Increasing the renewable energy usage at the production facility or sourcing renewable energy certificates can drastically lower this impact.</w:t>
      </w:r>
    </w:p>
    <w:p>
      <w:pPr>
        <w:numPr>
          <w:ilvl w:val="0"/>
          <w:numId w:val="1013"/>
        </w:numPr>
        <w:pStyle w:val="Compact"/>
      </w:pPr>
      <w:r>
        <w:rPr>
          <w:bCs/>
          <w:b/>
        </w:rPr>
        <w:t xml:space="preserve">Materials Acquisition &amp; Processing (3.29 kg CO2e):</w:t>
      </w:r>
      <w:r>
        <w:t xml:space="preserve"> </w:t>
      </w:r>
      <w:r>
        <w:t xml:space="preserve">The impact from raw materials is also substantial, contributing approximately 34% of the total. Optimizing material selection, reducing material usage, and increasing the use of recycled content are key strategies here.</w:t>
      </w:r>
    </w:p>
    <w:bookmarkEnd w:id="41"/>
    <w:bookmarkStart w:id="42" w:name="reliability-and-limitations"/>
    <w:p>
      <w:pPr>
        <w:pStyle w:val="Heading3"/>
      </w:pPr>
      <w:r>
        <w:t xml:space="preserve">5.2. Reliability and Limitations</w:t>
      </w:r>
    </w:p>
    <w:p>
      <w:pPr>
        <w:pStyle w:val="FirstParagraph"/>
      </w:pPr>
      <w:r>
        <w:t xml:space="preserve">The reliability of this PCF analysis is high for the parameters provided, utilizing specific company data where available and industry-standard emission factors from reputable sources (e.g., Ecoinvent/DEFRA equivalents).</w:t>
      </w:r>
    </w:p>
    <w:p>
      <w:pPr>
        <w:numPr>
          <w:ilvl w:val="0"/>
          <w:numId w:val="1014"/>
        </w:numPr>
        <w:pStyle w:val="Compact"/>
      </w:pPr>
      <w:r>
        <w:rPr>
          <w:bCs/>
          <w:b/>
        </w:rPr>
        <w:t xml:space="preserve">Data Quality:</w:t>
      </w:r>
      <w:r>
        <w:t xml:space="preserve"> </w:t>
      </w:r>
      <w:r>
        <w:t xml:space="preserve">The detailed Bill of Materials (BOM) greatly enhances the accuracy of material-related emissions. However, some generic emission factors for transport and regional electricity mixes (e.g., China grid, European average for use phase) were used due to the generic nature of some parameters, which introduces a degree of approximation.</w:t>
      </w:r>
    </w:p>
    <w:p>
      <w:pPr>
        <w:numPr>
          <w:ilvl w:val="0"/>
          <w:numId w:val="1014"/>
        </w:numPr>
        <w:pStyle w:val="Compact"/>
      </w:pPr>
      <w:r>
        <w:rPr>
          <w:bCs/>
          <w:b/>
        </w:rPr>
        <w:t xml:space="preserve">System Boundary:</w:t>
      </w:r>
      <w:r>
        <w:t xml:space="preserve"> </w:t>
      </w:r>
      <w:r>
        <w:t xml:space="preserve">While the core production boundary is factory_gate, the inclusion of downstream phases (use and EoL) provides a holistic view in line with product LCA best practices and GHG Protocol Scope 3 requirements.</w:t>
      </w:r>
    </w:p>
    <w:p>
      <w:pPr>
        <w:numPr>
          <w:ilvl w:val="0"/>
          <w:numId w:val="1014"/>
        </w:numPr>
        <w:pStyle w:val="Compact"/>
      </w:pPr>
      <w:r>
        <w:rPr>
          <w:bCs/>
          <w:b/>
        </w:rPr>
        <w:t xml:space="preserve">Assumptions:</w:t>
      </w:r>
      <w:r>
        <w:t xml:space="preserve"> </w:t>
      </w:r>
      <w:r>
        <w:t xml:space="preserve">Assumptions were made for placeholder values (e.g., specific transport distances, parcel load for last-mile delivery, virgin material EF for recycling credit) and should be validated with primary data where possible to increase precision.</w:t>
      </w:r>
    </w:p>
    <w:p>
      <w:pPr>
        <w:numPr>
          <w:ilvl w:val="0"/>
          <w:numId w:val="1014"/>
        </w:numPr>
        <w:pStyle w:val="Compact"/>
      </w:pPr>
      <w:r>
        <w:rPr>
          <w:bCs/>
          <w:b/>
        </w:rPr>
        <w:t xml:space="preserve">LSR Update (2026):</w:t>
      </w:r>
      <w:r>
        <w:t xml:space="preserve"> </w:t>
      </w:r>
      <w:r>
        <w:t xml:space="preserve">The Land Sector and Removals (LSR) Standard for land use and carbon removals has been qualitatively applied. As specific land-use change data was not provided, its impact on the PCF is not quantitatively modeled beyond inherent factors within certain material datasets. Future analyses could integrate direct land use change data if available.</w:t>
      </w:r>
    </w:p>
    <w:p>
      <w:pPr>
        <w:numPr>
          <w:ilvl w:val="0"/>
          <w:numId w:val="1014"/>
        </w:numPr>
        <w:pStyle w:val="Compact"/>
      </w:pPr>
      <w:r>
        <w:rPr>
          <w:bCs/>
          <w:b/>
        </w:rPr>
        <w:t xml:space="preserve">Scope 3 Compliance:</w:t>
      </w:r>
      <w:r>
        <w:t xml:space="preserve"> </w:t>
      </w:r>
      <w:r>
        <w:t xml:space="preserve">All identified relevant Scope 3 categories (upstream materials, transport, use, EoL) have been included, ensuring coverage beyond the 95% threshold for comprehensive reporting.</w:t>
      </w:r>
    </w:p>
    <w:bookmarkEnd w:id="42"/>
    <w:bookmarkEnd w:id="43"/>
    <w:bookmarkStart w:id="44" w:name="conclusion-and-recommendations"/>
    <w:p>
      <w:pPr>
        <w:pStyle w:val="Heading2"/>
      </w:pPr>
      <w:r>
        <w:t xml:space="preserve">Conclusion and Recommendations</w:t>
      </w:r>
    </w:p>
    <w:p>
      <w:pPr>
        <w:pStyle w:val="FirstParagraph"/>
      </w:pPr>
      <w:r>
        <w:t xml:space="preserve">The Product Carbon Footprint for mqtemlwtpn is 9.75 kg CO2e per unit. To significantly reduce this footprint,</w:t>
      </w:r>
      <w:r>
        <w:t xml:space="preserve"> </w:t>
      </w:r>
      <w:r>
        <w:rPr>
          <w:bCs/>
          <w:b/>
        </w:rPr>
        <w:t xml:space="preserve">uhrtgotlls</w:t>
      </w:r>
      <w:r>
        <w:t xml:space="preserve"> </w:t>
      </w:r>
      <w:r>
        <w:t xml:space="preserve">should prioritize efforts in the following areas:</w:t>
      </w:r>
    </w:p>
    <w:p>
      <w:pPr>
        <w:numPr>
          <w:ilvl w:val="0"/>
          <w:numId w:val="1015"/>
        </w:numPr>
        <w:pStyle w:val="Compact"/>
      </w:pPr>
      <w:r>
        <w:rPr>
          <w:bCs/>
          <w:b/>
        </w:rPr>
        <w:t xml:space="preserve">Renewable Energy Adoption:</w:t>
      </w:r>
      <w:r>
        <w:t xml:space="preserve"> </w:t>
      </w:r>
      <w:r>
        <w:t xml:space="preserve">Invest further in renewable energy sources for manufacturing operations in China, beyond the current 40% usage, or procure high-quality renewable energy credits.</w:t>
      </w:r>
    </w:p>
    <w:p>
      <w:pPr>
        <w:numPr>
          <w:ilvl w:val="0"/>
          <w:numId w:val="1015"/>
        </w:numPr>
        <w:pStyle w:val="Compact"/>
      </w:pPr>
      <w:r>
        <w:rPr>
          <w:bCs/>
          <w:b/>
        </w:rPr>
        <w:t xml:space="preserve">Product Energy Efficiency:</w:t>
      </w:r>
      <w:r>
        <w:t xml:space="preserve"> </w:t>
      </w:r>
      <w:r>
        <w:t xml:space="preserve">Focus on design improvements to reduce the product\'s energy consumption during its use phase. Promoting energy-efficient user behavior can also contribute.</w:t>
      </w:r>
    </w:p>
    <w:p>
      <w:pPr>
        <w:numPr>
          <w:ilvl w:val="0"/>
          <w:numId w:val="1015"/>
        </w:numPr>
        <w:pStyle w:val="Compact"/>
      </w:pPr>
      <w:r>
        <w:rPr>
          <w:bCs/>
          <w:b/>
        </w:rPr>
        <w:t xml:space="preserve">Material Optimization:</w:t>
      </w:r>
      <w:r>
        <w:t xml:space="preserve"> </w:t>
      </w:r>
      <w:r>
        <w:t xml:space="preserve">Explore alternative, lower-carbon materials and increase the recycled content in the product\'s components.</w:t>
      </w:r>
    </w:p>
    <w:p>
      <w:pPr>
        <w:numPr>
          <w:ilvl w:val="0"/>
          <w:numId w:val="1015"/>
        </w:numPr>
        <w:pStyle w:val="Compact"/>
      </w:pPr>
      <w:r>
        <w:rPr>
          <w:bCs/>
          <w:b/>
        </w:rPr>
        <w:t xml:space="preserve">Circular Economy Integration:</w:t>
      </w:r>
      <w:r>
        <w:t xml:space="preserve"> </w:t>
      </w:r>
      <w:r>
        <w:t xml:space="preserve">Strengthen the existing take-back program and explore advanced recycling technologies or refurbishment models to maximize material recovery and minimize waste.</w:t>
      </w:r>
    </w:p>
    <w:p>
      <w:pPr>
        <w:pStyle w:val="FirstParagraph"/>
      </w:pPr>
      <w:r>
        <w:t xml:space="preserve">By addressing these hotspots,</w:t>
      </w:r>
      <w:r>
        <w:t xml:space="preserve"> </w:t>
      </w:r>
      <w:r>
        <w:rPr>
          <w:bCs/>
          <w:b/>
        </w:rPr>
        <w:t xml:space="preserve">uhrtgotlls</w:t>
      </w:r>
      <w:r>
        <w:t xml:space="preserve"> </w:t>
      </w:r>
      <w:r>
        <w:t xml:space="preserve">can demonstrate leadership in sustainability and achieve substantial reductions in the environmental impact of</w:t>
      </w:r>
      <w:r>
        <w:t xml:space="preserve"> </w:t>
      </w:r>
      <w:r>
        <w:rPr>
          <w:bCs/>
          <w:b/>
        </w:rPr>
        <w:t xml:space="preserve">mqtemlwtpn</w:t>
      </w:r>
      <w:r>
        <w:t xml:space="preserve">.</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mqtemlwtpn</dc:title>
  <dc:creator/>
  <dc:description>High-detail Product Carbon Footprint (PCF) analysis report for mqtemlwtpn, prepared by Senior Sustainability Consultant eqirmdwpvn for uhrtgotlls, adhering to GHG Protocol standards and 2026 requirements.</dc:description>
  <cp:keywords/>
  <dcterms:created xsi:type="dcterms:W3CDTF">2026-05-30T20:06:54Z</dcterms:created>
  <dcterms:modified xsi:type="dcterms:W3CDTF">2026-05-30T20:06:54Z</dcterms:modified>
</cp:coreProperties>
</file>

<file path=docProps/custom.xml><?xml version="1.0" encoding="utf-8"?>
<Properties xmlns="http://schemas.openxmlformats.org/officeDocument/2006/custom-properties" xmlns:vt="http://schemas.openxmlformats.org/officeDocument/2006/docPropsVTypes"/>
</file>