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mpwynpldjr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mpwynpldjr</w:t>
      </w:r>
    </w:p>
    <w:p>
      <w:pPr>
        <w:pStyle w:val="BodyText"/>
      </w:pPr>
      <w:r>
        <w:rPr>
          <w:bCs/>
          <w:b/>
        </w:rPr>
        <w:t xml:space="preserve">Company Name:</w:t>
      </w:r>
      <w:r>
        <w:t xml:space="preserve"> </w:t>
      </w:r>
      <w:r>
        <w:t xml:space="preserve">pnprzoxidq</w:t>
      </w:r>
    </w:p>
    <w:p>
      <w:pPr>
        <w:pStyle w:val="BodyText"/>
      </w:pPr>
      <w:r>
        <w:rPr>
          <w:bCs/>
          <w:b/>
        </w:rPr>
        <w:t xml:space="preserve">Senior Sustainability Consultant:</w:t>
      </w:r>
      <w:r>
        <w:t xml:space="preserve"> </w:t>
      </w:r>
      <w:r>
        <w:t xml:space="preserve">qdvnrhhwuv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the placeholder nature of some input parameters (e.g., specific Bill of Materials content, exact transport details, and precise energy consumption figures), illustrative data has been used for calculations to demonstrate the methodology. For a precise and auditable PCF, primary and verified data for all parameters would be required.</w:t>
      </w:r>
    </w:p>
    <w:bookmarkEnd w:id="20"/>
    <w:bookmarkStart w:id="21" w:name="X2b37fb52cd3198d6a73ef37ae76acc787261fe0"/>
    <w:p>
      <w:pPr>
        <w:pStyle w:val="Heading1"/>
      </w:pPr>
      <w:r>
        <w:t xml:space="preserve">Product Carbon Footprint Analysis for mpwynpldjr</w:t>
      </w:r>
    </w:p>
    <w:p>
      <w:pPr>
        <w:pStyle w:val="FirstParagraph"/>
      </w:pPr>
      <w:r>
        <w:rPr>
          <w:bCs/>
          <w:b/>
        </w:rPr>
        <w:t xml:space="preserve">Generated Date:</w:t>
      </w:r>
      <w:r>
        <w:t xml:space="preserve"> </w:t>
      </w:r>
      <w:r>
        <w:t xml:space="preserve">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mpwynpldjr, manufactured by pnprzoxidq. The assessment follows the Greenhouse Gas (GHG) Protocol standards, incorporating the 2026 Land Sector and Removals (LSR) update and ensuring over 95% coverage for Scope 3 emissions, aligning with contemporary best practices. As Senior Sustainability Consultant, qdvnrhhwuv led this analysis. The primary goal is to quantify the total greenhouse gas emissions (in CO2e) associated with the product\'s lifecycle, identify key emission hotspots, and provide actionable insights for emission reduction.</w:t>
      </w:r>
    </w:p>
    <w:p>
      <w:pPr>
        <w:pStyle w:val="BodyText"/>
      </w:pPr>
      <w:r>
        <w:t xml:space="preserve">The analysis covers a comprehensive "cradle-to-gate with expanded use and end-of-life" system boundary, considering materials, manufacturing, transport, use phase, and end-of-life scenarios. Due to the provision of placeholder strings for certain input parameters (e.g., \'qetzdsqk\' for BOM, \'xhzvvrxfnm\' for distance), illustrative but plausible data has been utilized to demonstrate the robust methodology and calculation process. Actual, verifiable data for these parameters would be essential for a definitive and auditable PCF.</w:t>
      </w:r>
    </w:p>
    <w:p>
      <w:r>
        <w:pict>
          <v:rect style="width:0;height:1.5pt" o:hralign="center" o:hrstd="t" o:hr="t"/>
        </w:pict>
      </w:r>
    </w:p>
    <w:bookmarkEnd w:id="22"/>
    <w:bookmarkStart w:id="27"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mpwynpldjr</w:t>
      </w:r>
      <w:r>
        <w:t xml:space="preserve">. This unit serves as the reference basis for all quantified environmental impacts, allowing for consistent comparisons and calculations across its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raw material acquisition, pre-processing, and manufacturing up to the point the finished product leaves the factory. To provide a more holistic view of the product\'s environmental impact, the scope has been expanded to include critical downstream activities: transportation to the customer, the product\'s use phase, and its end-of-life management. This approach ensures a comprehensive \'cradle-to-gate with expanded use and end-of-life\' assessment.</w:t>
      </w:r>
    </w:p>
    <w:p>
      <w:pPr>
        <w:numPr>
          <w:ilvl w:val="0"/>
          <w:numId w:val="1001"/>
        </w:numPr>
        <w:pStyle w:val="Compact"/>
      </w:pPr>
      <w:r>
        <w:rPr>
          <w:bCs/>
          <w:b/>
        </w:rPr>
        <w:t xml:space="preserve">Upstream (Cradle-to-Gate):</w:t>
      </w:r>
    </w:p>
    <w:p>
      <w:pPr>
        <w:numPr>
          <w:ilvl w:val="1"/>
          <w:numId w:val="1002"/>
        </w:numPr>
        <w:pStyle w:val="Compact"/>
      </w:pPr>
      <w:r>
        <w:t xml:space="preserve">Raw Material Extraction &amp; Processing</w:t>
      </w:r>
    </w:p>
    <w:p>
      <w:pPr>
        <w:numPr>
          <w:ilvl w:val="1"/>
          <w:numId w:val="1002"/>
        </w:numPr>
        <w:pStyle w:val="Compact"/>
      </w:pPr>
      <w:r>
        <w:t xml:space="preserve">Component Manufacturing</w:t>
      </w:r>
    </w:p>
    <w:p>
      <w:pPr>
        <w:numPr>
          <w:ilvl w:val="1"/>
          <w:numId w:val="1002"/>
        </w:numPr>
        <w:pStyle w:val="Compact"/>
      </w:pPr>
      <w:r>
        <w:t xml:space="preserve">Inbound Logistics to Production Facility</w:t>
      </w:r>
    </w:p>
    <w:p>
      <w:pPr>
        <w:numPr>
          <w:ilvl w:val="1"/>
          <w:numId w:val="1002"/>
        </w:numPr>
        <w:pStyle w:val="Compact"/>
      </w:pPr>
      <w:r>
        <w:t xml:space="preserve">Product Assembly/Manufacturing at pnprzoxidq (China)</w:t>
      </w:r>
    </w:p>
    <w:p>
      <w:pPr>
        <w:numPr>
          <w:ilvl w:val="0"/>
          <w:numId w:val="1001"/>
        </w:numPr>
        <w:pStyle w:val="Compact"/>
      </w:pPr>
      <w:r>
        <w:rPr>
          <w:bCs/>
          <w:b/>
        </w:rPr>
        <w:t xml:space="preserve">Downstream (Expanded Use &amp; End-of-Life):</w:t>
      </w:r>
    </w:p>
    <w:p>
      <w:pPr>
        <w:numPr>
          <w:ilvl w:val="1"/>
          <w:numId w:val="1003"/>
        </w:numPr>
        <w:pStyle w:val="Compact"/>
      </w:pPr>
      <w:r>
        <w:t xml:space="preserve">Outbound Logistics from Production Facility to Customer</w:t>
      </w:r>
    </w:p>
    <w:p>
      <w:pPr>
        <w:numPr>
          <w:ilvl w:val="1"/>
          <w:numId w:val="1003"/>
        </w:numPr>
        <w:pStyle w:val="Compact"/>
      </w:pPr>
      <w:r>
        <w:t xml:space="preserve">Product Use Phase (energy consumption, durability)</w:t>
      </w:r>
    </w:p>
    <w:p>
      <w:pPr>
        <w:numPr>
          <w:ilvl w:val="1"/>
          <w:numId w:val="1003"/>
        </w:numPr>
        <w:pStyle w:val="Compact"/>
      </w:pPr>
      <w:r>
        <w:t xml:space="preserve">End-of-Life Treatment (recycling, disposal)</w:t>
      </w:r>
    </w:p>
    <w:bookmarkEnd w:id="24"/>
    <w:bookmarkStart w:id="25" w:name="geographic-scope"/>
    <w:p>
      <w:pPr>
        <w:pStyle w:val="Heading3"/>
      </w:pPr>
      <w:r>
        <w:t xml:space="preserve">1.3 Geographic Scope</w:t>
      </w:r>
    </w:p>
    <w:p>
      <w:pPr>
        <w:pStyle w:val="FirstParagraph"/>
      </w:pPr>
      <w:r>
        <w:t xml:space="preserve">The final production country for mpwynpldjr is</w:t>
      </w:r>
      <w:r>
        <w:t xml:space="preserve"> </w:t>
      </w:r>
      <w:r>
        <w:rPr>
          <w:bCs/>
          <w:b/>
        </w:rPr>
        <w:t xml:space="preserve">China</w:t>
      </w:r>
      <w:r>
        <w:t xml:space="preserve">. The supply chain focus for upstream materials and components is primarily</w:t>
      </w:r>
      <w:r>
        <w:t xml:space="preserve"> </w:t>
      </w:r>
      <w:r>
        <w:rPr>
          <w:bCs/>
          <w:b/>
        </w:rPr>
        <w:t xml:space="preserve">Europe Focused</w:t>
      </w:r>
      <w:r>
        <w:t xml:space="preserve">, indicating a global sourcing strategy with significant European contributions. Downstream transport and use phase considerations are also globally relevant, with a general assumption of end-user markets in Europe and other key regions.</w:t>
      </w:r>
    </w:p>
    <w:bookmarkEnd w:id="25"/>
    <w:bookmarkStart w:id="26" w:name="allocation"/>
    <w:p>
      <w:pPr>
        <w:pStyle w:val="Heading3"/>
      </w:pPr>
      <w:r>
        <w:t xml:space="preserve">1.4 Allocation</w:t>
      </w:r>
    </w:p>
    <w:p>
      <w:pPr>
        <w:pStyle w:val="FirstParagraph"/>
      </w:pPr>
      <w:r>
        <w:t xml:space="preserve">Emissions are allocated based on physical parameters such as mass for material production and energy consumption for manufacturing processes. For multi-product facilities or shared processes, an appropriate mass or economic allocation method would be applied, though for the purpose of this product-specific PCF, direct allocation to mpwynpldjr is prioritized where feasible.</w:t>
      </w:r>
    </w:p>
    <w:p>
      <w:r>
        <w:pict>
          <v:rect style="width:0;height:1.5pt" o:hralign="center" o:hrstd="t" o:hr="t"/>
        </w:pict>
      </w:r>
    </w:p>
    <w:bookmarkEnd w:id="26"/>
    <w:bookmarkEnd w:id="27"/>
    <w:bookmarkStart w:id="33" w:name="X6e2793ee4fc01441418c201f3b9b8c363590e6c"/>
    <w:p>
      <w:pPr>
        <w:pStyle w:val="Heading2"/>
      </w:pPr>
      <w:r>
        <w:t xml:space="preserve">2. Mapping the Lifecycle (LCI Inventory Stages) &amp; 3. Data Collection</w:t>
      </w:r>
    </w:p>
    <w:p>
      <w:pPr>
        <w:pStyle w:val="FirstParagraph"/>
      </w:pPr>
      <w:r>
        <w:t xml:space="preserve">This section details the primary and secondary data points collected and the illustrative Bill of Materials (BOM) and energy inputs used to map the lifecycle of mpwynpldjr. It is important to reiterate that specific input data was provided as placeholder strings (e.g., \'qetzdsqk\', \'xhzvvrxfnm\'), therefore, illustrative yet representative data has been used for the detailed calculations below.</w:t>
      </w:r>
    </w:p>
    <w:bookmarkStart w:id="28" w:name="X6fcafb2a0e904a9bda5f61b57b172e9d758cb37"/>
    <w:p>
      <w:pPr>
        <w:pStyle w:val="Heading3"/>
      </w:pPr>
      <w:r>
        <w:t xml:space="preserve">2.1 Illustrative Detailed Bill of Materials (BOM) - \'qetzdsqk\'</w:t>
      </w:r>
    </w:p>
    <w:p>
      <w:pPr>
        <w:pStyle w:val="FirstParagraph"/>
      </w:pPr>
      <w:r>
        <w:t xml:space="preserve">The following table provides an illustrative Bill of Materials (BOM) based on the expected format of \'qetzdsqk\'. This data is crucial for calculating the material acquisition and pre-processing impacts (Scope 3, Upstream - Purchased Goods &amp;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0.035</w:t>
            </w:r>
          </w:p>
        </w:tc>
      </w:tr>
      <w:tr>
        <w:tc>
          <w:tcPr/>
          <w:p>
            <w:pPr>
              <w:pStyle w:val="Compact"/>
              <w:jc w:val="left"/>
            </w:pPr>
            <w:r>
              <w:t xml:space="preserve">M-004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0.450</w:t>
            </w:r>
          </w:p>
        </w:tc>
      </w:tr>
      <w:tr>
        <w:tc>
          <w:tcPr/>
          <w:p>
            <w:pPr>
              <w:pStyle w:val="Compact"/>
              <w:jc w:val="left"/>
            </w:pPr>
            <w:r>
              <w:t xml:space="preserve">M-005</w:t>
            </w:r>
          </w:p>
        </w:tc>
        <w:tc>
          <w:tcPr/>
          <w:p>
            <w:pPr>
              <w:pStyle w:val="Compact"/>
              <w:jc w:val="left"/>
            </w:pPr>
            <w:r>
              <w:t xml:space="preserve">Interface Connectors</w:t>
            </w:r>
          </w:p>
        </w:tc>
        <w:tc>
          <w:tcPr/>
          <w:p>
            <w:pPr>
              <w:pStyle w:val="Compact"/>
              <w:jc w:val="left"/>
            </w:pPr>
            <w:r>
              <w:t xml:space="preserve">Electronics</w:t>
            </w:r>
          </w:p>
        </w:tc>
        <w:tc>
          <w:tcPr/>
          <w:p>
            <w:pPr>
              <w:pStyle w:val="Compact"/>
              <w:jc w:val="left"/>
            </w:pPr>
            <w:r>
              <w:t xml:space="preserve">Component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22.00</w:t>
            </w:r>
          </w:p>
        </w:tc>
        <w:tc>
          <w:tcPr/>
          <w:p>
            <w:pPr>
              <w:pStyle w:val="Compact"/>
              <w:jc w:val="left"/>
            </w:pPr>
            <w:r>
              <w:t xml:space="preserve">0.110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0.032</w:t>
            </w:r>
          </w:p>
        </w:tc>
      </w:tr>
      <w:tr>
        <w:tc>
          <w:tcPr>
            <w:gridSpan w:val="7"/>
          </w:tcPr>
          <w:p>
            <w:pPr>
              <w:pStyle w:val="Compact"/>
              <w:jc w:val="right"/>
            </w:pPr>
            <w:r>
              <w:rPr>
                <w:bCs/>
                <w:b/>
              </w:rPr>
              <w:t xml:space="preserve">Total Material Carbon Impact:</w:t>
            </w:r>
          </w:p>
        </w:tc>
        <w:tc>
          <w:tcPr/>
          <w:p>
            <w:pPr>
              <w:pStyle w:val="Compact"/>
              <w:jc w:val="left"/>
            </w:pPr>
            <w:r>
              <w:rPr>
                <w:bCs/>
                <w:b/>
              </w:rPr>
              <w:t xml:space="preserve">1.927 kg CO2e</w:t>
            </w:r>
          </w:p>
        </w:tc>
      </w:tr>
    </w:tbl>
    <w:p>
      <w:pPr>
        <w:pStyle w:val="BodyText"/>
      </w:pPr>
      <w:r>
        <w:rPr>
          <w:iCs/>
          <w:i/>
        </w:rPr>
        <w:t xml:space="preserve">Note: Emission Factors are illustrative, representative of industry averages (e.g., Ecoinvent, DEFRA database values for virgin materials and manufacturing processes). The provided \'Total Carbon\' column in the illustrative BOM confirms that these specific values would be directly used in calculations if provided in the original \'qetzdsqk\' data.</w:t>
      </w:r>
    </w:p>
    <w:bookmarkEnd w:id="28"/>
    <w:bookmarkStart w:id="29" w:name="energy-inputs---production-phase"/>
    <w:p>
      <w:pPr>
        <w:pStyle w:val="Heading3"/>
      </w:pPr>
      <w:r>
        <w:t xml:space="preserve">2.2 Energy Inputs - Production Phase</w:t>
      </w:r>
    </w:p>
    <w:p>
      <w:pPr>
        <w:pStyle w:val="FirstParagraph"/>
      </w:pPr>
      <w:r>
        <w:t xml:space="preserve">Energy consumption during the manufacturing phase at pnprzoxidq\'s facility in China is a significant contributor to the PCF (Scope 2). The provided energy customization data is as follows (illustrative values used for calculation):</w:t>
      </w:r>
    </w:p>
    <w:p>
      <w:pPr>
        <w:numPr>
          <w:ilvl w:val="0"/>
          <w:numId w:val="1004"/>
        </w:numPr>
        <w:pStyle w:val="Compact"/>
      </w:pPr>
      <w:r>
        <w:rPr>
          <w:bCs/>
          <w:b/>
        </w:rPr>
        <w:t xml:space="preserve">Energy Intensity (kWh/unit):</w:t>
      </w:r>
      <w:r>
        <w:t xml:space="preserve"> </w:t>
      </w:r>
      <w:r>
        <w:t xml:space="preserve">jdetdtjitz (Illustrative: 5 kWh/unit)</w:t>
      </w:r>
    </w:p>
    <w:p>
      <w:pPr>
        <w:numPr>
          <w:ilvl w:val="0"/>
          <w:numId w:val="1004"/>
        </w:numPr>
        <w:pStyle w:val="Compact"/>
      </w:pPr>
      <w:r>
        <w:rPr>
          <w:bCs/>
          <w:b/>
        </w:rPr>
        <w:t xml:space="preserve">Renewable Energy Usage:</w:t>
      </w:r>
      <w:r>
        <w:t xml:space="preserve"> </w:t>
      </w:r>
      <w:r>
        <w:t xml:space="preserve">hqxuhzdvey (Illustrative: 50%)</w:t>
      </w:r>
    </w:p>
    <w:p>
      <w:pPr>
        <w:pStyle w:val="FirstParagraph"/>
      </w:pPr>
      <w:r>
        <w:t xml:space="preserve">Illustrative Electricity Grid Emission Factor (China): 0.6 kg CO2e/kWh (Source: Representative industry data).</w:t>
      </w:r>
    </w:p>
    <w:bookmarkEnd w:id="29"/>
    <w:bookmarkStart w:id="30" w:name="transport-logistics-data"/>
    <w:p>
      <w:pPr>
        <w:pStyle w:val="Heading3"/>
      </w:pPr>
      <w:r>
        <w:t xml:space="preserve">2.3 Transport Logistics Data</w:t>
      </w:r>
    </w:p>
    <w:p>
      <w:pPr>
        <w:pStyle w:val="FirstParagraph"/>
      </w:pPr>
      <w:r>
        <w:t xml:space="preserve">Transportation accounts for emissions across the supply chain (Scope 3, Upstream - Transport &amp; Distribution; Downstream - Transport &amp; Distribution). The specific logistics data provided as placeholders are used illustratively:</w:t>
      </w:r>
    </w:p>
    <w:p>
      <w:pPr>
        <w:numPr>
          <w:ilvl w:val="0"/>
          <w:numId w:val="1005"/>
        </w:numPr>
        <w:pStyle w:val="Compact"/>
      </w:pPr>
      <w:r>
        <w:rPr>
          <w:bCs/>
          <w:b/>
        </w:rPr>
        <w:t xml:space="preserve">Main Transport Mode (Inbound/Outbound):</w:t>
      </w:r>
      <w:r>
        <w:t xml:space="preserve"> </w:t>
      </w:r>
      <w:r>
        <w:t xml:space="preserve">Select Mode (Illustrative: Ocean Freight for bulk, Road Transport - HGV for regional)</w:t>
      </w:r>
    </w:p>
    <w:p>
      <w:pPr>
        <w:numPr>
          <w:ilvl w:val="0"/>
          <w:numId w:val="1005"/>
        </w:numPr>
        <w:pStyle w:val="Compact"/>
      </w:pPr>
      <w:r>
        <w:rPr>
          <w:bCs/>
          <w:b/>
        </w:rPr>
        <w:t xml:space="preserve">Main Transport Distance:</w:t>
      </w:r>
      <w:r>
        <w:t xml:space="preserve"> </w:t>
      </w:r>
      <w:r>
        <w:t xml:space="preserve">xhzvvrxfnm (Illustrative: 12,000 km Ocean; 500 km Road)</w:t>
      </w:r>
    </w:p>
    <w:p>
      <w:pPr>
        <w:numPr>
          <w:ilvl w:val="0"/>
          <w:numId w:val="1005"/>
        </w:numPr>
        <w:pStyle w:val="Compact"/>
      </w:pPr>
      <w:r>
        <w:rPr>
          <w:bCs/>
          <w:b/>
        </w:rPr>
        <w:t xml:space="preserve">Last-Mile Delivery Channel:</w:t>
      </w:r>
      <w:r>
        <w:t xml:space="preserve"> </w:t>
      </w:r>
      <w:r>
        <w:t xml:space="preserve">Delivery Type (Illustrative: Road Transport - Van)</w:t>
      </w:r>
    </w:p>
    <w:p>
      <w:pPr>
        <w:numPr>
          <w:ilvl w:val="0"/>
          <w:numId w:val="1005"/>
        </w:numPr>
        <w:pStyle w:val="Compact"/>
      </w:pPr>
      <w:r>
        <w:rPr>
          <w:bCs/>
          <w:b/>
        </w:rPr>
        <w:t xml:space="preserve">Last-Mile Delivery Distance (Illustrative):</w:t>
      </w:r>
      <w:r>
        <w:t xml:space="preserve"> </w:t>
      </w:r>
      <w:r>
        <w:t xml:space="preserve">50 km</w:t>
      </w:r>
    </w:p>
    <w:p>
      <w:pPr>
        <w:pStyle w:val="FirstParagraph"/>
      </w:pPr>
      <w:r>
        <w:t xml:space="preserve">Illustrative Transport Emission Factors (Source: Representative industry data):</w:t>
      </w:r>
    </w:p>
    <w:p>
      <w:pPr>
        <w:numPr>
          <w:ilvl w:val="0"/>
          <w:numId w:val="1006"/>
        </w:numPr>
        <w:pStyle w:val="Compact"/>
      </w:pPr>
      <w:r>
        <w:t xml:space="preserve">Ocean Freight: 0.01 kg CO2e/tonne-km</w:t>
      </w:r>
    </w:p>
    <w:p>
      <w:pPr>
        <w:numPr>
          <w:ilvl w:val="0"/>
          <w:numId w:val="1006"/>
        </w:numPr>
        <w:pStyle w:val="Compact"/>
      </w:pPr>
      <w:r>
        <w:t xml:space="preserve">Road Transport (HGV): 0.08 kg CO2e/tonne-km (average for goods)</w:t>
      </w:r>
    </w:p>
    <w:p>
      <w:pPr>
        <w:numPr>
          <w:ilvl w:val="0"/>
          <w:numId w:val="1006"/>
        </w:numPr>
        <w:pStyle w:val="Compact"/>
      </w:pPr>
      <w:r>
        <w:t xml:space="preserve">Road Transport (Van): 0.15 kg CO2e/tonne-km (average for smaller vehicles)</w:t>
      </w:r>
    </w:p>
    <w:p>
      <w:pPr>
        <w:pStyle w:val="FirstParagraph"/>
      </w:pPr>
      <w:r>
        <w:t xml:space="preserve">For calculation purposes, an illustrative product weight of 0.25 kg/unit is assumed for transport impact.</w:t>
      </w:r>
    </w:p>
    <w:bookmarkEnd w:id="30"/>
    <w:bookmarkStart w:id="31" w:name="use-phase-data"/>
    <w:p>
      <w:pPr>
        <w:pStyle w:val="Heading3"/>
      </w:pPr>
      <w:r>
        <w:t xml:space="preserve">2.4 Use Phase Data</w:t>
      </w:r>
    </w:p>
    <w:p>
      <w:pPr>
        <w:pStyle w:val="FirstParagraph"/>
      </w:pPr>
      <w:r>
        <w:t xml:space="preserve">The product\'s use phase contributes to Scope 3 emissions. The specific durability and consumption data provided are (illustrative values used for calculation):</w:t>
      </w:r>
    </w:p>
    <w:p>
      <w:pPr>
        <w:numPr>
          <w:ilvl w:val="0"/>
          <w:numId w:val="1007"/>
        </w:numPr>
        <w:pStyle w:val="Compact"/>
      </w:pPr>
      <w:r>
        <w:rPr>
          <w:bCs/>
          <w:b/>
        </w:rPr>
        <w:t xml:space="preserve">Product Lifespan:</w:t>
      </w:r>
      <w:r>
        <w:t xml:space="preserve"> </w:t>
      </w:r>
      <w:r>
        <w:t xml:space="preserve">komiknuwuh (Illustrative: 5 years)</w:t>
      </w:r>
    </w:p>
    <w:p>
      <w:pPr>
        <w:numPr>
          <w:ilvl w:val="0"/>
          <w:numId w:val="1007"/>
        </w:numPr>
        <w:pStyle w:val="Compact"/>
      </w:pPr>
      <w:r>
        <w:rPr>
          <w:bCs/>
          <w:b/>
        </w:rPr>
        <w:t xml:space="preserve">Energy Consumption in Use:</w:t>
      </w:r>
      <w:r>
        <w:t xml:space="preserve"> </w:t>
      </w:r>
      <w:r>
        <w:t xml:space="preserve">yzopxtuhxg (Illustrative: 10 kWh/year)</w:t>
      </w:r>
    </w:p>
    <w:p>
      <w:pPr>
        <w:pStyle w:val="FirstParagraph"/>
      </w:pPr>
      <w:r>
        <w:t xml:space="preserve">Illustrative Electricity Grid Emission Factor (Europe, average for use phase): 0.25 kg CO2e/kWh (Source: Representative industry data for a mixed European grid).</w:t>
      </w:r>
    </w:p>
    <w:bookmarkEnd w:id="31"/>
    <w:bookmarkStart w:id="32" w:name="end-of-life-eol-scenarios"/>
    <w:p>
      <w:pPr>
        <w:pStyle w:val="Heading3"/>
      </w:pPr>
      <w:r>
        <w:t xml:space="preserve">2.5 End-of-Life (EoL) Scenarios</w:t>
      </w:r>
    </w:p>
    <w:p>
      <w:pPr>
        <w:pStyle w:val="FirstParagraph"/>
      </w:pPr>
      <w:r>
        <w:t xml:space="preserve">End-of-life treatment impacts are critical for a comprehensive PCF (Scope 3, Downstream - End-of-Life Treatment). The provided EoL scenarios are (illustrative values used for calculation):</w:t>
      </w:r>
    </w:p>
    <w:p>
      <w:pPr>
        <w:numPr>
          <w:ilvl w:val="0"/>
          <w:numId w:val="1008"/>
        </w:numPr>
        <w:pStyle w:val="Compact"/>
      </w:pPr>
      <w:r>
        <w:rPr>
          <w:bCs/>
          <w:b/>
        </w:rPr>
        <w:t xml:space="preserve">Recyclability Percentage:</w:t>
      </w:r>
      <w:r>
        <w:t xml:space="preserve"> </w:t>
      </w:r>
      <w:r>
        <w:t xml:space="preserve">qdyppszduq (Illustrative: 70% of product mass)</w:t>
      </w:r>
    </w:p>
    <w:p>
      <w:pPr>
        <w:numPr>
          <w:ilvl w:val="0"/>
          <w:numId w:val="1008"/>
        </w:numPr>
        <w:pStyle w:val="Compact"/>
      </w:pPr>
      <w:r>
        <w:rPr>
          <w:bCs/>
          <w:b/>
        </w:rPr>
        <w:t xml:space="preserve">Circular/Take-back Programs:</w:t>
      </w:r>
      <w:r>
        <w:t xml:space="preserve"> </w:t>
      </w:r>
      <w:r>
        <w:t xml:space="preserve">jopjyrlvlz (Illustrative: Limited take-back program resulting in 10% of product mass recovered for material recycling, specifically metals and plastics.)</w:t>
      </w:r>
    </w:p>
    <w:p>
      <w:pPr>
        <w:pStyle w:val="FirstParagraph"/>
      </w:pPr>
      <w:r>
        <w:t xml:space="preserve">Illustrative Emission Factors for EoL (Source: Representative industry data):</w:t>
      </w:r>
    </w:p>
    <w:p>
      <w:pPr>
        <w:numPr>
          <w:ilvl w:val="0"/>
          <w:numId w:val="1009"/>
        </w:numPr>
        <w:pStyle w:val="Compact"/>
      </w:pPr>
      <w:r>
        <w:t xml:space="preserve">Recycling benefit (e.g., for plastics and metals): -1.5 kg CO2e/kg (avoided virgin material production)</w:t>
      </w:r>
    </w:p>
    <w:p>
      <w:pPr>
        <w:numPr>
          <w:ilvl w:val="0"/>
          <w:numId w:val="1009"/>
        </w:numPr>
        <w:pStyle w:val="Compact"/>
      </w:pPr>
      <w:r>
        <w:t xml:space="preserve">Waste to Landfill (remaining mass): 0.1 kg CO2e/kg</w:t>
      </w:r>
    </w:p>
    <w:p>
      <w:pPr>
        <w:pStyle w:val="FirstParagraph"/>
      </w:pPr>
      <w:r>
        <w:t xml:space="preserve">Illustrative Product Mass (for EoL calculation): 0.25 kg/unit (same as transport weight).</w:t>
      </w:r>
    </w:p>
    <w:p>
      <w:r>
        <w:pict>
          <v:rect style="width:0;height:1.5pt" o:hralign="center" o:hrstd="t" o:hr="t"/>
        </w:pict>
      </w:r>
    </w:p>
    <w:bookmarkEnd w:id="32"/>
    <w:bookmarkEnd w:id="33"/>
    <w:bookmarkStart w:id="43" w:name="X3720d7d0541b3a6e3c473bd4daa188ddb828856"/>
    <w:p>
      <w:pPr>
        <w:pStyle w:val="Heading2"/>
      </w:pPr>
      <w:r>
        <w:t xml:space="preserve">4. Calculating Emissions (Activity * Emission Factor = CO2e)</w:t>
      </w:r>
    </w:p>
    <w:p>
      <w:pPr>
        <w:pStyle w:val="FirstParagraph"/>
      </w:pPr>
      <w:r>
        <w:t xml:space="preserve">This section details the calculation of emissions across the product\'s lifecycle, categorized according to the GHG Protocol\'s Scope 1, 2, and 3. All calculations are based on the illustrative data outlined in Section 2 &amp; 3, applying industry-standard emission factors (e.g., Ecoinvent, DEFRA, IEA for energy grids).</w:t>
      </w:r>
    </w:p>
    <w:bookmarkStart w:id="34" w:name="scope-1-emissions-direct-emissions"/>
    <w:p>
      <w:pPr>
        <w:pStyle w:val="Heading3"/>
      </w:pPr>
      <w:r>
        <w:t xml:space="preserve">4.1 Scope 1 Emissions (Direct Emissions)</w:t>
      </w:r>
    </w:p>
    <w:p>
      <w:pPr>
        <w:pStyle w:val="FirstParagraph"/>
      </w:pPr>
      <w:r>
        <w:t xml:space="preserve">As per the `factory_gate` system boundary and the nature of product manufacturing, direct emissions from sources owned or controlled by pnprzoxidq\'s facility (e.g., on-site combustion of fuels, company vehicles) are considered. For this PCF, assuming pnprzoxidq primarily operates with purchased electricity and outsourced logistics, direct operational emissions from product manufacturing itself are considered negligible or embedded within Scope 2 and Scope 3 for the product unit. If on-site fuel combustion for manufacturing processes were significant, it would be included here. For this product unit calculation, direct fossil fuel combustion at the factory is assumed to be zero per unit.</w:t>
      </w:r>
    </w:p>
    <w:p>
      <w:pPr>
        <w:pStyle w:val="BodyText"/>
      </w:pPr>
      <w:r>
        <w:rPr>
          <w:bCs/>
          <w:b/>
        </w:rPr>
        <w:t xml:space="preserve">Total Scope 1 Emissions: 0.00 kg CO2e/unit</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mpwynpldjr at the China facility.</w:t>
      </w:r>
    </w:p>
    <w:p>
      <w:pPr>
        <w:numPr>
          <w:ilvl w:val="0"/>
          <w:numId w:val="1010"/>
        </w:numPr>
        <w:pStyle w:val="Compact"/>
      </w:pPr>
      <w:r>
        <w:t xml:space="preserve">Total Energy Intensity: 5 kWh/unit</w:t>
      </w:r>
    </w:p>
    <w:p>
      <w:pPr>
        <w:numPr>
          <w:ilvl w:val="0"/>
          <w:numId w:val="1010"/>
        </w:numPr>
        <w:pStyle w:val="Compact"/>
      </w:pPr>
      <w:r>
        <w:t xml:space="preserve">Renewable Energy Usage: 50%</w:t>
      </w:r>
    </w:p>
    <w:p>
      <w:pPr>
        <w:numPr>
          <w:ilvl w:val="0"/>
          <w:numId w:val="1010"/>
        </w:numPr>
        <w:pStyle w:val="Compact"/>
      </w:pPr>
      <w:r>
        <w:t xml:space="preserve">Non-Renewable Energy Usage: 50%</w:t>
      </w:r>
    </w:p>
    <w:p>
      <w:pPr>
        <w:numPr>
          <w:ilvl w:val="0"/>
          <w:numId w:val="1010"/>
        </w:numPr>
        <w:pStyle w:val="Compact"/>
      </w:pPr>
      <w:r>
        <w:t xml:space="preserve">China Grid Emission Factor: 0.6 kg CO2e/kWh</w:t>
      </w:r>
    </w:p>
    <w:p>
      <w:pPr>
        <w:pStyle w:val="FirstParagraph"/>
      </w:pPr>
      <w:r>
        <w:t xml:space="preserve">Calculation:</w:t>
      </w:r>
    </w:p>
    <w:p>
      <w:pPr>
        <w:numPr>
          <w:ilvl w:val="0"/>
          <w:numId w:val="1011"/>
        </w:numPr>
        <w:pStyle w:val="Compact"/>
      </w:pPr>
      <w:r>
        <w:t xml:space="preserve">Non-renewable energy consumed = 5 kWh/unit * 0.50 = 2.5 kWh/unit</w:t>
      </w:r>
    </w:p>
    <w:p>
      <w:pPr>
        <w:numPr>
          <w:ilvl w:val="0"/>
          <w:numId w:val="1011"/>
        </w:numPr>
        <w:pStyle w:val="Compact"/>
      </w:pPr>
      <w:r>
        <w:t xml:space="preserve">Scope 2 Emissions = 2.5 kWh/unit * 0.6 kg CO2e/kWh = 1.50 kg CO2e/unit</w:t>
      </w:r>
    </w:p>
    <w:p>
      <w:pPr>
        <w:pStyle w:val="FirstParagraph"/>
      </w:pPr>
      <w:r>
        <w:rPr>
          <w:bCs/>
          <w:b/>
        </w:rPr>
        <w:t xml:space="preserve">Total Scope 2 Emissions: 1.50 kg CO2e/unit</w:t>
      </w:r>
    </w:p>
    <w:bookmarkEnd w:id="35"/>
    <w:bookmarkStart w:id="41" w:name="scope-3-emissions-value-chain-emissions"/>
    <w:p>
      <w:pPr>
        <w:pStyle w:val="Heading3"/>
      </w:pPr>
      <w:r>
        <w:t xml:space="preserve">4.3 Scope 3 Emissions (Value Chain Emissions)</w:t>
      </w:r>
    </w:p>
    <w:p>
      <w:pPr>
        <w:pStyle w:val="FirstParagraph"/>
      </w:pPr>
      <w:r>
        <w:t xml:space="preserve">Scope 3 emissions are the most comprehensive category, covering both upstream and downstream value chain activities. This analysis ensures at least 95% coverage for Scope 3 reporting as per 2026 requirements.</w:t>
      </w:r>
    </w:p>
    <w:bookmarkStart w:id="36" w:name="Xab9729a0caae076ca89f2f71668734f92723cf2"/>
    <w:p>
      <w:pPr>
        <w:pStyle w:val="Heading4"/>
      </w:pPr>
      <w:r>
        <w:t xml:space="preserve">4.3.1 Category 1: Purchased Goods and Services (Materials)</w:t>
      </w:r>
    </w:p>
    <w:p>
      <w:pPr>
        <w:pStyle w:val="FirstParagraph"/>
      </w:pPr>
      <w:r>
        <w:t xml:space="preserve">Based on the illustrative BOM (Section 2.1).</w:t>
      </w:r>
    </w:p>
    <w:p>
      <w:pPr>
        <w:numPr>
          <w:ilvl w:val="0"/>
          <w:numId w:val="1012"/>
        </w:numPr>
        <w:pStyle w:val="Compact"/>
      </w:pPr>
      <w:r>
        <w:t xml:space="preserve">Total Material Carbon Impact from BOM: 1.927 kg CO2e/unit</w:t>
      </w:r>
    </w:p>
    <w:p>
      <w:pPr>
        <w:pStyle w:val="FirstParagraph"/>
      </w:pPr>
      <w:r>
        <w:rPr>
          <w:bCs/>
          <w:b/>
        </w:rPr>
        <w:t xml:space="preserve">Subtotal Scope 3 - Materials: 1.927 kg CO2e/unit</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 in China, and transport from factory to distribution center/customer.</w:t>
      </w:r>
    </w:p>
    <w:p>
      <w:pPr>
        <w:numPr>
          <w:ilvl w:val="0"/>
          <w:numId w:val="1013"/>
        </w:numPr>
        <w:pStyle w:val="Compact"/>
      </w:pPr>
      <w:r>
        <w:t xml:space="preserve">Product Weight for transport: 0.25 kg/unit (0.00025 tonnes/unit)</w:t>
      </w:r>
    </w:p>
    <w:p>
      <w:pPr>
        <w:numPr>
          <w:ilvl w:val="0"/>
          <w:numId w:val="1013"/>
        </w:numPr>
        <w:pStyle w:val="Compact"/>
      </w:pPr>
      <w:r>
        <w:t xml:space="preserve">Main Transport (Ocean Freight, e.g., from Europe to China):</w:t>
      </w:r>
    </w:p>
    <w:p>
      <w:pPr>
        <w:numPr>
          <w:ilvl w:val="0"/>
          <w:numId w:val="1013"/>
        </w:numPr>
        <w:pStyle w:val="Compact"/>
      </w:pPr>
    </w:p>
    <w:p>
      <w:pPr>
        <w:numPr>
          <w:ilvl w:val="1"/>
          <w:numId w:val="1014"/>
        </w:numPr>
        <w:pStyle w:val="Compact"/>
      </w:pPr>
      <w:r>
        <w:t xml:space="preserve">Distance: 12,000 km</w:t>
      </w:r>
    </w:p>
    <w:p>
      <w:pPr>
        <w:numPr>
          <w:ilvl w:val="1"/>
          <w:numId w:val="1014"/>
        </w:numPr>
        <w:pStyle w:val="Compact"/>
      </w:pPr>
      <w:r>
        <w:t xml:space="preserve">Emission Factor: 0.01 kg CO2e/tonne-km</w:t>
      </w:r>
    </w:p>
    <w:p>
      <w:pPr>
        <w:numPr>
          <w:ilvl w:val="1"/>
          <w:numId w:val="1014"/>
        </w:numPr>
        <w:pStyle w:val="Compact"/>
      </w:pPr>
      <w:r>
        <w:t xml:space="preserve">Emissions = 0.00025 tonnes/unit * 12,000 km * 0.01 kg CO2e/tonne-km = 0.030 kg CO2e/unit</w:t>
      </w:r>
    </w:p>
    <w:p>
      <w:pPr>
        <w:numPr>
          <w:ilvl w:val="0"/>
          <w:numId w:val="1013"/>
        </w:numPr>
        <w:pStyle w:val="Compact"/>
      </w:pPr>
      <w:r>
        <w:t xml:space="preserve">Outbound Transport (Road Transport - HGV from China factory to port/regional hub):</w:t>
      </w:r>
    </w:p>
    <w:p>
      <w:pPr>
        <w:numPr>
          <w:ilvl w:val="0"/>
          <w:numId w:val="1013"/>
        </w:numPr>
        <w:pStyle w:val="Compact"/>
      </w:pPr>
    </w:p>
    <w:p>
      <w:pPr>
        <w:numPr>
          <w:ilvl w:val="1"/>
          <w:numId w:val="1015"/>
        </w:numPr>
        <w:pStyle w:val="Compact"/>
      </w:pPr>
      <w:r>
        <w:t xml:space="preserve">Distance: 500 km</w:t>
      </w:r>
    </w:p>
    <w:p>
      <w:pPr>
        <w:numPr>
          <w:ilvl w:val="1"/>
          <w:numId w:val="1015"/>
        </w:numPr>
        <w:pStyle w:val="Compact"/>
      </w:pPr>
      <w:r>
        <w:t xml:space="preserve">Emission Factor: 0.08 kg CO2e/tonne-km</w:t>
      </w:r>
    </w:p>
    <w:p>
      <w:pPr>
        <w:numPr>
          <w:ilvl w:val="1"/>
          <w:numId w:val="1015"/>
        </w:numPr>
        <w:pStyle w:val="Compact"/>
      </w:pPr>
      <w:r>
        <w:t xml:space="preserve">Emissions = 0.00025 tonnes/unit * 500 km * 0.08 kg CO2e/tonne-km = 0.010 kg CO2e/unit</w:t>
      </w:r>
    </w:p>
    <w:p>
      <w:pPr>
        <w:numPr>
          <w:ilvl w:val="0"/>
          <w:numId w:val="1013"/>
        </w:numPr>
        <w:pStyle w:val="Compact"/>
      </w:pPr>
      <w:r>
        <w:t xml:space="preserve">Last-Mile Delivery (Road Transport - Van to end customer):</w:t>
      </w:r>
    </w:p>
    <w:p>
      <w:pPr>
        <w:numPr>
          <w:ilvl w:val="0"/>
          <w:numId w:val="1013"/>
        </w:numPr>
        <w:pStyle w:val="Compact"/>
      </w:pPr>
    </w:p>
    <w:p>
      <w:pPr>
        <w:numPr>
          <w:ilvl w:val="1"/>
          <w:numId w:val="1016"/>
        </w:numPr>
        <w:pStyle w:val="Compact"/>
      </w:pPr>
      <w:r>
        <w:t xml:space="preserve">Distance: 50 km</w:t>
      </w:r>
    </w:p>
    <w:p>
      <w:pPr>
        <w:numPr>
          <w:ilvl w:val="1"/>
          <w:numId w:val="1016"/>
        </w:numPr>
        <w:pStyle w:val="Compact"/>
      </w:pPr>
      <w:r>
        <w:t xml:space="preserve">Emission Factor: 0.15 kg CO2e/tonne-km</w:t>
      </w:r>
    </w:p>
    <w:p>
      <w:pPr>
        <w:numPr>
          <w:ilvl w:val="1"/>
          <w:numId w:val="1016"/>
        </w:numPr>
        <w:pStyle w:val="Compact"/>
      </w:pPr>
      <w:r>
        <w:t xml:space="preserve">Emissions = 0.00025 tonnes/unit * 50 km * 0.15 kg CO2e/tonne-km = 0.0019 kg CO2e/unit</w:t>
      </w:r>
    </w:p>
    <w:p>
      <w:pPr>
        <w:pStyle w:val="FirstParagraph"/>
      </w:pPr>
      <w:r>
        <w:rPr>
          <w:bCs/>
          <w:b/>
        </w:rPr>
        <w:t xml:space="preserve">Subtotal Scope 3 - Upstream &amp; Downstream Transport: 0.030 + 0.010 + 0.0019 = 0.0419 kg CO2e/unit</w:t>
      </w:r>
    </w:p>
    <w:bookmarkEnd w:id="37"/>
    <w:bookmarkStart w:id="38" w:name="category-11-use-of-sold-products"/>
    <w:p>
      <w:pPr>
        <w:pStyle w:val="Heading4"/>
      </w:pPr>
      <w:r>
        <w:t xml:space="preserve">4.3.3 Category 11: Use of Sold Products</w:t>
      </w:r>
    </w:p>
    <w:p>
      <w:pPr>
        <w:pStyle w:val="FirstParagraph"/>
      </w:pPr>
      <w:r>
        <w:t xml:space="preserve">Emissions from the energy consumed during the product\'s lifespan.</w:t>
      </w:r>
    </w:p>
    <w:p>
      <w:pPr>
        <w:numPr>
          <w:ilvl w:val="0"/>
          <w:numId w:val="1017"/>
        </w:numPr>
        <w:pStyle w:val="Compact"/>
      </w:pPr>
      <w:r>
        <w:t xml:space="preserve">Product Lifespan: 5 years</w:t>
      </w:r>
    </w:p>
    <w:p>
      <w:pPr>
        <w:numPr>
          <w:ilvl w:val="0"/>
          <w:numId w:val="1017"/>
        </w:numPr>
        <w:pStyle w:val="Compact"/>
      </w:pPr>
      <w:r>
        <w:t xml:space="preserve">Energy Consumption in Use: 10 kWh/year</w:t>
      </w:r>
    </w:p>
    <w:p>
      <w:pPr>
        <w:numPr>
          <w:ilvl w:val="0"/>
          <w:numId w:val="1017"/>
        </w:numPr>
        <w:pStyle w:val="Compact"/>
      </w:pPr>
      <w:r>
        <w:t xml:space="preserve">Electricity Grid Emission Factor (Europe, average): 0.25 kg CO2e/kWh</w:t>
      </w:r>
    </w:p>
    <w:p>
      <w:pPr>
        <w:pStyle w:val="FirstParagraph"/>
      </w:pPr>
      <w:r>
        <w:t xml:space="preserve">Calculation:</w:t>
      </w:r>
    </w:p>
    <w:p>
      <w:pPr>
        <w:numPr>
          <w:ilvl w:val="0"/>
          <w:numId w:val="1018"/>
        </w:numPr>
        <w:pStyle w:val="Compact"/>
      </w:pPr>
      <w:r>
        <w:t xml:space="preserve">Total Energy Consumption over Lifespan = 10 kWh/year * 5 years = 50 kWh/unit</w:t>
      </w:r>
    </w:p>
    <w:p>
      <w:pPr>
        <w:numPr>
          <w:ilvl w:val="0"/>
          <w:numId w:val="1018"/>
        </w:numPr>
        <w:pStyle w:val="Compact"/>
      </w:pPr>
      <w:r>
        <w:t xml:space="preserve">Use Phase Emissions = 50 kWh/unit * 0.25 kg CO2e/kWh = 12.50 kg CO2e/unit</w:t>
      </w:r>
    </w:p>
    <w:p>
      <w:pPr>
        <w:pStyle w:val="FirstParagraph"/>
      </w:pPr>
      <w:r>
        <w:rPr>
          <w:bCs/>
          <w:b/>
        </w:rPr>
        <w:t xml:space="preserve">Subtotal Scope 3 - Use Phase: 12.50 kg CO2e/unit</w:t>
      </w:r>
    </w:p>
    <w:bookmarkEnd w:id="38"/>
    <w:bookmarkStart w:id="39" w:name="X9f66eef2700632e081dfe139021cb724ffcd2c5"/>
    <w:p>
      <w:pPr>
        <w:pStyle w:val="Heading4"/>
      </w:pPr>
      <w:r>
        <w:t xml:space="preserve">4.3.4 Category 12: End-of-Life Treatment of Sold Products</w:t>
      </w:r>
    </w:p>
    <w:p>
      <w:pPr>
        <w:pStyle w:val="FirstParagraph"/>
      </w:pPr>
      <w:r>
        <w:t xml:space="preserve">Emissions and potential avoided emissions (credits) from recycling and disposal.</w:t>
      </w:r>
    </w:p>
    <w:p>
      <w:pPr>
        <w:numPr>
          <w:ilvl w:val="0"/>
          <w:numId w:val="1019"/>
        </w:numPr>
        <w:pStyle w:val="Compact"/>
      </w:pPr>
      <w:r>
        <w:t xml:space="preserve">Product Mass: 0.25 kg/unit</w:t>
      </w:r>
    </w:p>
    <w:p>
      <w:pPr>
        <w:numPr>
          <w:ilvl w:val="0"/>
          <w:numId w:val="1019"/>
        </w:numPr>
        <w:pStyle w:val="Compact"/>
      </w:pPr>
      <w:r>
        <w:t xml:space="preserve">Recyclability Percentage: 70%</w:t>
      </w:r>
    </w:p>
    <w:p>
      <w:pPr>
        <w:numPr>
          <w:ilvl w:val="0"/>
          <w:numId w:val="1019"/>
        </w:numPr>
        <w:pStyle w:val="Compact"/>
      </w:pPr>
      <w:r>
        <w:t xml:space="preserve">Circular Program Recovery: 10% (for material recycling)</w:t>
      </w:r>
    </w:p>
    <w:p>
      <w:pPr>
        <w:numPr>
          <w:ilvl w:val="0"/>
          <w:numId w:val="1019"/>
        </w:numPr>
        <w:pStyle w:val="Compact"/>
      </w:pPr>
      <w:r>
        <w:t xml:space="preserve">Total Recycled/Recovered Mass = 0.25 kg * (0.70 + 0.10) = 0.25 kg * 0.80 = 0.20 kg/unit</w:t>
      </w:r>
    </w:p>
    <w:p>
      <w:pPr>
        <w:numPr>
          <w:ilvl w:val="0"/>
          <w:numId w:val="1019"/>
        </w:numPr>
        <w:pStyle w:val="Compact"/>
      </w:pPr>
      <w:r>
        <w:t xml:space="preserve">Mass to Landfill = 0.25 kg - 0.20 kg = 0.05 kg/unit</w:t>
      </w:r>
    </w:p>
    <w:p>
      <w:pPr>
        <w:numPr>
          <w:ilvl w:val="0"/>
          <w:numId w:val="1019"/>
        </w:numPr>
        <w:pStyle w:val="Compact"/>
      </w:pPr>
      <w:r>
        <w:t xml:space="preserve">Recycling Benefit (illustrative for mixed materials): -1.5 kg CO2e/kg</w:t>
      </w:r>
    </w:p>
    <w:p>
      <w:pPr>
        <w:numPr>
          <w:ilvl w:val="0"/>
          <w:numId w:val="1019"/>
        </w:numPr>
        <w:pStyle w:val="Compact"/>
      </w:pPr>
      <w:r>
        <w:t xml:space="preserve">Landfill Emission Factor: 0.1 kg CO2e/kg</w:t>
      </w:r>
    </w:p>
    <w:p>
      <w:pPr>
        <w:pStyle w:val="FirstParagraph"/>
      </w:pPr>
      <w:r>
        <w:t xml:space="preserve">Calculation:</w:t>
      </w:r>
    </w:p>
    <w:p>
      <w:pPr>
        <w:numPr>
          <w:ilvl w:val="0"/>
          <w:numId w:val="1020"/>
        </w:numPr>
        <w:pStyle w:val="Compact"/>
      </w:pPr>
      <w:r>
        <w:t xml:space="preserve">Recycling/Recovery Credit = 0.20 kg/unit * (-1.5 kg CO2e/kg) = -0.30 kg CO2e/unit</w:t>
      </w:r>
    </w:p>
    <w:p>
      <w:pPr>
        <w:numPr>
          <w:ilvl w:val="0"/>
          <w:numId w:val="1020"/>
        </w:numPr>
        <w:pStyle w:val="Compact"/>
      </w:pPr>
      <w:r>
        <w:t xml:space="preserve">Landfill Emissions = 0.05 kg/unit * 0.1 kg CO2e/kg = 0.005 kg CO2e/unit</w:t>
      </w:r>
    </w:p>
    <w:p>
      <w:pPr>
        <w:pStyle w:val="FirstParagraph"/>
      </w:pPr>
      <w:r>
        <w:rPr>
          <w:bCs/>
          <w:b/>
        </w:rPr>
        <w:t xml:space="preserve">Subtotal Scope 3 - End-of-Life: -0.30 + 0.005 = -0.295 kg CO2e/unit</w:t>
      </w:r>
      <w:r>
        <w:t xml:space="preserve"> </w:t>
      </w:r>
      <w:r>
        <w:t xml:space="preserve">(Note: Negative value represents avoided emissions/credit)</w:t>
      </w:r>
    </w:p>
    <w:bookmarkEnd w:id="39"/>
    <w:bookmarkStart w:id="40" w:name="lsr-update-land-sector-and-removals"/>
    <w:p>
      <w:pPr>
        <w:pStyle w:val="Heading4"/>
      </w:pPr>
      <w:r>
        <w:t xml:space="preserve">4.3.5 2026 LSR Update (Land Sector and Removals)</w:t>
      </w:r>
    </w:p>
    <w:p>
      <w:pPr>
        <w:pStyle w:val="FirstParagraph"/>
      </w:pPr>
      <w:r>
        <w:t xml:space="preserve">The Land Sector and Removals (LSR) Standard is applied to account for land use change emissions and carbon removals. For a manufactured product like mpwynpldjr, direct land use change emissions are typically associated with primary material extraction (e.g., biomass for bio-plastics, logging for wood). If any raw materials in `qetzdsqk` were derived from significant land-use change or specific forestry practices, these would be quantified here. Carbon removals could apply if bio-based materials sequester CO2 or if specific carbon capture technologies are used in the supply chain. For the illustrative BOM, the primary materials (plastics, electronics, metals) do not typically have significant direct LSR impacts at the product level, unless they are bio-based. Assuming no specific bio-based materials with documented removals or direct land use change were specified in `qetzdsqk`, this impact is considered negligible for the direct product footprint but would be evaluated based on the full supply chain of primary raw materials.</w:t>
      </w:r>
    </w:p>
    <w:p>
      <w:pPr>
        <w:pStyle w:val="BodyText"/>
      </w:pPr>
      <w:r>
        <w:rPr>
          <w:bCs/>
          <w:b/>
        </w:rPr>
        <w:t xml:space="preserve">Subtotal Scope 3 - LSR: 0.00 kg CO2e/unit (assuming no specific LSR impacts for illustrative BOM)</w:t>
      </w:r>
    </w:p>
    <w:bookmarkEnd w:id="40"/>
    <w:bookmarkEnd w:id="41"/>
    <w:bookmarkStart w:id="42" w:name="total-product-carbon-footprint"/>
    <w:p>
      <w:pPr>
        <w:pStyle w:val="Heading3"/>
      </w:pPr>
      <w:r>
        <w:t xml:space="preserve">4.4 Total Product Carbon Footprint</w:t>
      </w:r>
    </w:p>
    <w:p>
      <w:pPr>
        <w:pStyle w:val="FirstParagraph"/>
      </w:pPr>
      <w:r>
        <w:t xml:space="preserve">Summing up all calculated emissions across the scopes:</w:t>
      </w:r>
    </w:p>
    <w:p>
      <w:pPr>
        <w:numPr>
          <w:ilvl w:val="0"/>
          <w:numId w:val="1021"/>
        </w:numPr>
        <w:pStyle w:val="Compact"/>
      </w:pPr>
      <w:r>
        <w:t xml:space="preserve">Scope 1: 0.00 kg CO2e/unit</w:t>
      </w:r>
    </w:p>
    <w:p>
      <w:pPr>
        <w:numPr>
          <w:ilvl w:val="0"/>
          <w:numId w:val="1021"/>
        </w:numPr>
        <w:pStyle w:val="Compact"/>
      </w:pPr>
      <w:r>
        <w:t xml:space="preserve">Scope 2: 1.50 kg CO2e/unit</w:t>
      </w:r>
    </w:p>
    <w:p>
      <w:pPr>
        <w:numPr>
          <w:ilvl w:val="0"/>
          <w:numId w:val="1021"/>
        </w:numPr>
        <w:pStyle w:val="Compact"/>
      </w:pPr>
      <w:r>
        <w:t xml:space="preserve">Scope 3 (Materials): 1.927 kg CO2e/unit</w:t>
      </w:r>
    </w:p>
    <w:p>
      <w:pPr>
        <w:numPr>
          <w:ilvl w:val="0"/>
          <w:numId w:val="1021"/>
        </w:numPr>
        <w:pStyle w:val="Compact"/>
      </w:pPr>
      <w:r>
        <w:t xml:space="preserve">Scope 3 (Transport): 0.0419 kg CO2e/unit</w:t>
      </w:r>
    </w:p>
    <w:p>
      <w:pPr>
        <w:numPr>
          <w:ilvl w:val="0"/>
          <w:numId w:val="1021"/>
        </w:numPr>
        <w:pStyle w:val="Compact"/>
      </w:pPr>
      <w:r>
        <w:t xml:space="preserve">Scope 3 (Use Phase): 12.50 kg CO2e/unit</w:t>
      </w:r>
    </w:p>
    <w:p>
      <w:pPr>
        <w:numPr>
          <w:ilvl w:val="0"/>
          <w:numId w:val="1021"/>
        </w:numPr>
        <w:pStyle w:val="Compact"/>
      </w:pPr>
      <w:r>
        <w:t xml:space="preserve">Scope 3 (End-of-Life): -0.295 kg CO2e/unit</w:t>
      </w:r>
    </w:p>
    <w:p>
      <w:pPr>
        <w:numPr>
          <w:ilvl w:val="0"/>
          <w:numId w:val="1021"/>
        </w:numPr>
        <w:pStyle w:val="Compact"/>
      </w:pPr>
      <w:r>
        <w:t xml:space="preserve">Scope 3 (LSR): 0.00 kg CO2e/unit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Total CO2e (kg/unit)</w:t>
            </w:r>
          </w:p>
        </w:tc>
        <w:tc>
          <w:tcPr/>
          <w:p>
            <w:pPr>
              <w:pStyle w:val="Compact"/>
              <w:jc w:val="left"/>
            </w:pPr>
            <w:r>
              <w:t xml:space="preserve">Percentage of Total (%)</w:t>
            </w:r>
          </w:p>
        </w:tc>
      </w:tr>
      <w:tr>
        <w:tc>
          <w:tcPr/>
          <w:p>
            <w:pPr>
              <w:pStyle w:val="Compact"/>
              <w:jc w:val="left"/>
            </w:pPr>
            <w:r>
              <w:t xml:space="preserve">Scope 1 (Direct Operations)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1.500</w:t>
            </w:r>
          </w:p>
        </w:tc>
        <w:tc>
          <w:tcPr/>
          <w:p>
            <w:pPr>
              <w:pStyle w:val="Compact"/>
              <w:jc w:val="left"/>
            </w:pPr>
            <w:r>
              <w:t xml:space="preserve">10.0%</w:t>
            </w:r>
          </w:p>
        </w:tc>
      </w:tr>
      <w:tr>
        <w:tc>
          <w:tcPr>
            <w:gridSpan w:val="3"/>
          </w:tcPr>
          <w:p>
            <w:pPr>
              <w:pStyle w:val="Compact"/>
              <w:jc w:val="left"/>
            </w:pPr>
            <w:r>
              <w:rPr>
                <w:bCs/>
                <w:b/>
              </w:rPr>
              <w:t xml:space="preserve">Scope 3 (Value Chain Emissions)</w:t>
            </w:r>
          </w:p>
        </w:tc>
      </w:tr>
      <w:tr>
        <w:tc>
          <w:tcPr/>
          <w:p>
            <w:pPr>
              <w:pStyle w:val="Compact"/>
              <w:jc w:val="left"/>
            </w:pPr>
            <w:r>
              <w:t xml:space="preserve">  Purchased Goods &amp; Services (Materials)</w:t>
            </w:r>
          </w:p>
        </w:tc>
        <w:tc>
          <w:tcPr/>
          <w:p>
            <w:pPr>
              <w:pStyle w:val="Compact"/>
              <w:jc w:val="left"/>
            </w:pPr>
            <w:r>
              <w:t xml:space="preserve">1.927</w:t>
            </w:r>
          </w:p>
        </w:tc>
        <w:tc>
          <w:tcPr/>
          <w:p>
            <w:pPr>
              <w:pStyle w:val="Compact"/>
              <w:jc w:val="left"/>
            </w:pPr>
            <w:r>
              <w:t xml:space="preserve">12.9%</w:t>
            </w:r>
          </w:p>
        </w:tc>
      </w:tr>
      <w:tr>
        <w:tc>
          <w:tcPr/>
          <w:p>
            <w:pPr>
              <w:pStyle w:val="Compact"/>
              <w:jc w:val="left"/>
            </w:pPr>
            <w:r>
              <w:t xml:space="preserve">  Transportation &amp; Distribution (Upstream &amp; Downstream)</w:t>
            </w:r>
          </w:p>
        </w:tc>
        <w:tc>
          <w:tcPr/>
          <w:p>
            <w:pPr>
              <w:pStyle w:val="Compact"/>
              <w:jc w:val="left"/>
            </w:pPr>
            <w:r>
              <w:t xml:space="preserve">0.042</w:t>
            </w:r>
          </w:p>
        </w:tc>
        <w:tc>
          <w:tcPr/>
          <w:p>
            <w:pPr>
              <w:pStyle w:val="Compact"/>
              <w:jc w:val="left"/>
            </w:pPr>
            <w:r>
              <w:t xml:space="preserve">0.3%</w:t>
            </w:r>
          </w:p>
        </w:tc>
      </w:tr>
      <w:tr>
        <w:tc>
          <w:tcPr/>
          <w:p>
            <w:pPr>
              <w:pStyle w:val="Compact"/>
              <w:jc w:val="left"/>
            </w:pPr>
            <w:r>
              <w:t xml:space="preserve">  Use of Sold Products</w:t>
            </w:r>
          </w:p>
        </w:tc>
        <w:tc>
          <w:tcPr/>
          <w:p>
            <w:pPr>
              <w:pStyle w:val="Compact"/>
              <w:jc w:val="left"/>
            </w:pPr>
            <w:r>
              <w:t xml:space="preserve">12.500</w:t>
            </w:r>
          </w:p>
        </w:tc>
        <w:tc>
          <w:tcPr/>
          <w:p>
            <w:pPr>
              <w:pStyle w:val="Compact"/>
              <w:jc w:val="left"/>
            </w:pPr>
            <w:r>
              <w:t xml:space="preserve">83.4%</w:t>
            </w:r>
          </w:p>
        </w:tc>
      </w:tr>
      <w:tr>
        <w:tc>
          <w:tcPr/>
          <w:p>
            <w:pPr>
              <w:pStyle w:val="Compact"/>
              <w:jc w:val="left"/>
            </w:pPr>
            <w:r>
              <w:t xml:space="preserve">  End-of-Life Treatment of Sold Products (Net)</w:t>
            </w:r>
          </w:p>
        </w:tc>
        <w:tc>
          <w:tcPr/>
          <w:p>
            <w:pPr>
              <w:pStyle w:val="Compact"/>
              <w:jc w:val="left"/>
            </w:pPr>
            <w:r>
              <w:t xml:space="preserve">-0.295</w:t>
            </w:r>
          </w:p>
        </w:tc>
        <w:tc>
          <w:tcPr/>
          <w:p>
            <w:pPr>
              <w:pStyle w:val="Compact"/>
              <w:jc w:val="left"/>
            </w:pPr>
            <w:r>
              <w:t xml:space="preserve">-2.0%</w:t>
            </w:r>
          </w:p>
        </w:tc>
      </w:tr>
      <w:tr>
        <w:tc>
          <w:tcPr/>
          <w:p>
            <w:pPr>
              <w:pStyle w:val="Compact"/>
              <w:jc w:val="left"/>
            </w:pPr>
            <w:r>
              <w:t xml:space="preserve">  Land Sector &amp; Removals (LSR)</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Total Product Carbon Footprint (PCF)</w:t>
            </w:r>
          </w:p>
        </w:tc>
        <w:tc>
          <w:tcPr/>
          <w:p>
            <w:pPr>
              <w:pStyle w:val="Compact"/>
              <w:jc w:val="left"/>
            </w:pPr>
            <w:r>
              <w:rPr>
                <w:bCs/>
                <w:b/>
              </w:rPr>
              <w:t xml:space="preserve">15.674 kg CO2e/unit</w:t>
            </w:r>
          </w:p>
        </w:tc>
        <w:tc>
          <w:tcPr/>
          <w:p>
            <w:pPr>
              <w:pStyle w:val="Compact"/>
              <w:jc w:val="left"/>
            </w:pPr>
            <w:r>
              <w:rPr>
                <w:bCs/>
                <w:b/>
              </w:rPr>
              <w:t xml:space="preserve">100.0%</w:t>
            </w:r>
          </w:p>
        </w:tc>
      </w:tr>
    </w:tbl>
    <w:p>
      <w:pPr>
        <w:pStyle w:val="BodyText"/>
      </w:pPr>
      <w:r>
        <w:rPr>
          <w:iCs/>
          <w:i/>
        </w:rPr>
        <w:t xml:space="preserve">Note: Percentages are calculated based on the sum of all positive emissions. The negative value for EoL indicates a net carbon removal/avoidance.</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detailed PCF analysis for mpwynpldjr reveals the following key emission hotspots:</w:t>
      </w:r>
    </w:p>
    <w:p>
      <w:pPr>
        <w:numPr>
          <w:ilvl w:val="0"/>
          <w:numId w:val="1022"/>
        </w:numPr>
        <w:pStyle w:val="Compact"/>
      </w:pPr>
      <w:r>
        <w:rPr>
          <w:bCs/>
          <w:b/>
        </w:rPr>
        <w:t xml:space="preserve">Use Phase (83.4%):</w:t>
      </w:r>
      <w:r>
        <w:t xml:space="preserve"> </w:t>
      </w:r>
      <w:r>
        <w:t xml:space="preserve">This is overwhelmingly the dominant hotspot. The product\'s energy consumption over its 5-year lifespan significantly outweighs all other stages. Even with an assumed European average grid, the accumulated electricity use is the primary driver of the footprint.</w:t>
      </w:r>
    </w:p>
    <w:p>
      <w:pPr>
        <w:numPr>
          <w:ilvl w:val="0"/>
          <w:numId w:val="1022"/>
        </w:numPr>
        <w:pStyle w:val="Compact"/>
      </w:pPr>
      <w:r>
        <w:rPr>
          <w:bCs/>
          <w:b/>
        </w:rPr>
        <w:t xml:space="preserve">Purchased Goods &amp; Services (Materials) (12.9%):</w:t>
      </w:r>
      <w:r>
        <w:t xml:space="preserve"> </w:t>
      </w:r>
      <w:r>
        <w:t xml:space="preserve">The raw materials and component manufacturing, particularly for complex electronics and batteries, contribute significantly to the upstream footprint.</w:t>
      </w:r>
    </w:p>
    <w:p>
      <w:pPr>
        <w:numPr>
          <w:ilvl w:val="0"/>
          <w:numId w:val="1022"/>
        </w:numPr>
        <w:pStyle w:val="Compact"/>
      </w:pPr>
      <w:r>
        <w:rPr>
          <w:bCs/>
          <w:b/>
        </w:rPr>
        <w:t xml:space="preserve">Manufacturing (Scope 2) (10.0%):</w:t>
      </w:r>
      <w:r>
        <w:t xml:space="preserve"> </w:t>
      </w:r>
      <w:r>
        <w:t xml:space="preserve">While a portion of renewable energy is used, the remaining grid electricity consumption during production in China contributes notably.</w:t>
      </w:r>
    </w:p>
    <w:p>
      <w:pPr>
        <w:numPr>
          <w:ilvl w:val="0"/>
          <w:numId w:val="1022"/>
        </w:numPr>
        <w:pStyle w:val="Compact"/>
      </w:pPr>
      <w:r>
        <w:rPr>
          <w:bCs/>
          <w:b/>
        </w:rPr>
        <w:t xml:space="preserve">End-of-Life (Net -2.0%):</w:t>
      </w:r>
      <w:r>
        <w:t xml:space="preserve"> </w:t>
      </w:r>
      <w:r>
        <w:t xml:space="preserve">The recycling and circular economy initiatives demonstrate a net positive impact, effectively reducing the overall footprint by avoiding virgin material production.</w:t>
      </w:r>
    </w:p>
    <w:p>
      <w:pPr>
        <w:numPr>
          <w:ilvl w:val="0"/>
          <w:numId w:val="1022"/>
        </w:numPr>
        <w:pStyle w:val="Compact"/>
      </w:pPr>
      <w:r>
        <w:rPr>
          <w:bCs/>
          <w:b/>
        </w:rPr>
        <w:t xml:space="preserve">Transportation (0.3%):</w:t>
      </w:r>
      <w:r>
        <w:t xml:space="preserve"> </w:t>
      </w:r>
      <w:r>
        <w:t xml:space="preserve">Despite long distances, the low specific emissions of ocean freight and relatively light product weight make transport a minor contributor in comparison to other stages.</w:t>
      </w:r>
    </w:p>
    <w:bookmarkEnd w:id="44"/>
    <w:bookmarkStart w:id="45" w:name="reliability-and-limitations"/>
    <w:p>
      <w:pPr>
        <w:pStyle w:val="Heading3"/>
      </w:pPr>
      <w:r>
        <w:t xml:space="preserve">5.2 Reliability and Limitations</w:t>
      </w:r>
    </w:p>
    <w:p>
      <w:pPr>
        <w:pStyle w:val="FirstParagraph"/>
      </w:pPr>
      <w:r>
        <w:t xml:space="preserve">The methodology adheres strictly to the GHG Protocol and incorporates the latest 2026 LSR update and 95% Scope 3 coverage requirement. However, the reliability of the quantitative results is directly tied to the input data quality. A critical limitation of this specific report is the use of illustrative data for several key parameters, as the explicit content for \'qetzdsqk\' (BOM), \'xhzvvrxfnm\' (transport distance), \'Select Mode\', \'Delivery Type\', \'hqxuhzdvey\' (renewable energy), \'jdetdtjitz\' (energy intensity), \'komiknuwuh\' (lifespan), \'yzopxtuhxg\' (energy in use), \'qdyppszduq\' (recyclability), and \'jopjyrlvlz\' (circular programs) were provided as placeholder strings. Therefore, while the methodology is sound, the numerical results are indicative and illustrative, not definitive. For a fully auditable and precise PCF, primary, verified data for all these parameters is indispensable.</w:t>
      </w:r>
    </w:p>
    <w:bookmarkEnd w:id="45"/>
    <w:bookmarkStart w:id="46" w:name="recommendations-for-emission-reduction"/>
    <w:p>
      <w:pPr>
        <w:pStyle w:val="Heading3"/>
      </w:pPr>
      <w:r>
        <w:t xml:space="preserve">5.3 Recommendations for Emission Reduction</w:t>
      </w:r>
    </w:p>
    <w:p>
      <w:pPr>
        <w:pStyle w:val="FirstParagraph"/>
      </w:pPr>
      <w:r>
        <w:t xml:space="preserve">Based on the hotspot analysis, pnprzoxidq should prioritize the following strategies for mpwynpldjr:</w:t>
      </w:r>
    </w:p>
    <w:p>
      <w:pPr>
        <w:numPr>
          <w:ilvl w:val="0"/>
          <w:numId w:val="1023"/>
        </w:numPr>
        <w:pStyle w:val="Compact"/>
      </w:pPr>
      <w:r>
        <w:rPr>
          <w:bCs/>
          <w:b/>
        </w:rPr>
        <w:t xml:space="preserve">Optimize Use Phase Energy Efficiency:</w:t>
      </w:r>
      <w:r>
        <w:t xml:space="preserve"> </w:t>
      </w:r>
      <w:r>
        <w:t xml:space="preserve">This is the most critical area. Invest in research and development to reduce the product\'s energy consumption during its active use. Explore low-power modes, energy-efficient components, and user awareness campaigns.</w:t>
      </w:r>
    </w:p>
    <w:p>
      <w:pPr>
        <w:numPr>
          <w:ilvl w:val="0"/>
          <w:numId w:val="1023"/>
        </w:numPr>
        <w:pStyle w:val="Compact"/>
      </w:pPr>
      <w:r>
        <w:rPr>
          <w:bCs/>
          <w:b/>
        </w:rPr>
        <w:t xml:space="preserve">Transition to Renewable Energy in Manufacturing:</w:t>
      </w:r>
      <w:r>
        <w:t xml:space="preserve"> </w:t>
      </w:r>
      <w:r>
        <w:t xml:space="preserve">Further increase the percentage of renewable energy used in the China production facility, beyond the current hqxuhzdvey (illustrative 50%). This could involve direct renewable energy procurement, on-site generation, or investing in renewable energy certificates.</w:t>
      </w:r>
    </w:p>
    <w:p>
      <w:pPr>
        <w:numPr>
          <w:ilvl w:val="0"/>
          <w:numId w:val="1023"/>
        </w:numPr>
        <w:pStyle w:val="Compact"/>
      </w:pPr>
      <w:r>
        <w:rPr>
          <w:bCs/>
          <w:b/>
        </w:rPr>
        <w:t xml:space="preserve">Sustainable Material Sourcing &amp; Design:</w:t>
      </w:r>
      <w:r>
        <w:t xml:space="preserve"> </w:t>
      </w:r>
      <w:r>
        <w:t xml:space="preserve">Explore lower-impact materials for the BOM. Focus on materials with lower inherent emission factors, increased recycled content, and certified sustainable origins. Optimizing design for dematerialization (reducing material quantity) is also key.</w:t>
      </w:r>
    </w:p>
    <w:p>
      <w:pPr>
        <w:numPr>
          <w:ilvl w:val="0"/>
          <w:numId w:val="1023"/>
        </w:numPr>
        <w:pStyle w:val="Compact"/>
      </w:pPr>
      <w:r>
        <w:rPr>
          <w:bCs/>
          <w:b/>
        </w:rPr>
        <w:t xml:space="preserve">Enhance Circularity and Take-Back Programs:</w:t>
      </w:r>
      <w:r>
        <w:t xml:space="preserve"> </w:t>
      </w:r>
      <w:r>
        <w:t xml:space="preserve">While current EoL programs offer a credit, further expansion of robust take-back and recycling initiatives (jopjyrlvlz) can significantly increase avoided emissions and resource efficiency. Design for disassembly and modularity can support this.</w:t>
      </w:r>
    </w:p>
    <w:p>
      <w:pPr>
        <w:numPr>
          <w:ilvl w:val="0"/>
          <w:numId w:val="1023"/>
        </w:numPr>
        <w:pStyle w:val="Compact"/>
      </w:pPr>
      <w:r>
        <w:rPr>
          <w:bCs/>
          <w:b/>
        </w:rPr>
        <w:t xml:space="preserve">Supply Chain Engagement:</w:t>
      </w:r>
      <w:r>
        <w:t xml:space="preserve"> </w:t>
      </w:r>
      <w:r>
        <w:t xml:space="preserve">Collaborate with key suppliers to encourage their decarbonization efforts, especially those supplying high-impact electronic components and batteries.</w:t>
      </w:r>
    </w:p>
    <w:p>
      <w:r>
        <w:pict>
          <v:rect style="width:0;height:1.5pt" o:hralign="center" o:hrstd="t" o:hr="t"/>
        </w:pict>
      </w:r>
    </w:p>
    <w:p>
      <w:pPr>
        <w:pStyle w:val="FirstParagraph"/>
      </w:pPr>
      <w:r>
        <w:t xml:space="preserve">Confidential - Internal Use Only | Page</w:t>
      </w:r>
      <w:r>
        <w:t xml:space="preserve"> </w:t>
      </w:r>
      <w:r>
        <w:t xml:space="preserve"> </w:t>
      </w:r>
      <w:r>
        <w:t xml:space="preserve">of</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mpwynpldjr</dc:title>
  <dc:creator/>
  <dc:description>Detailed Product Carbon Footprint (PCF) analysis report for mpwynpldjr, conducted by pnprzoxidq following the GHG Protocol standards, with a focus on supply chain impacts and circular economy principles.</dc:description>
  <dc:language>en</dc:language>
  <cp:keywords/>
  <dcterms:created xsi:type="dcterms:W3CDTF">2026-05-30T15:54:48Z</dcterms:created>
  <dcterms:modified xsi:type="dcterms:W3CDTF">2026-05-30T15:54:48Z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