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mpnrdgtzxz</w:t>
      </w:r>
      <w:r>
        <w:t xml:space="preserve"> </w:t>
      </w:r>
      <w:r>
        <w:t xml:space="preserve">(Product</w:t>
      </w:r>
      <w:r>
        <w:t xml:space="preserve"> </w:t>
      </w:r>
      <w:r>
        <w:t xml:space="preserve">of</w:t>
      </w:r>
      <w:r>
        <w:t xml:space="preserve"> </w:t>
      </w:r>
      <w:r>
        <w:t xml:space="preserve">gntidkoryk)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mpnrdgtzxz</w:t>
      </w:r>
    </w:p>
    <w:p>
      <w:pPr>
        <w:pStyle w:val="BodyText"/>
      </w:pPr>
      <w:r>
        <w:rPr>
          <w:bCs/>
          <w:b/>
        </w:rPr>
        <w:t xml:space="preserve">Company Name:</w:t>
      </w:r>
      <w:r>
        <w:t xml:space="preserve"> </w:t>
      </w:r>
      <w:r>
        <w:t xml:space="preserve">gntidkoryk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tiwxeriozm</w:t>
      </w:r>
    </w:p>
    <w:p>
      <w:pPr>
        <w:pStyle w:val="BodyText"/>
      </w:pPr>
      <w:r>
        <w:t xml:space="preserve">Disclaimer: This report is generated based on available data and industry standards. While efforts have been made to ensure accuracy, the results are indicative and subject to the quality and completeness of the underlying data and assumptions made for placeholders.</w:t>
      </w:r>
    </w:p>
    <w:bookmarkEnd w:id="20"/>
    <w:p>
      <w:pPr>
        <w:pStyle w:val="BodyText"/>
      </w:pPr>
      <w:r>
        <w:t xml:space="preserve">Generated Date: May 27, 2026</w:t>
      </w:r>
    </w:p>
    <w:bookmarkStart w:id="46" w:name="X61ed1f52f4232c1a7dab14e637d826ddd7dd22d"/>
    <w:p>
      <w:pPr>
        <w:pStyle w:val="Heading1"/>
      </w:pPr>
      <w:r>
        <w:t xml:space="preserve">Product Carbon Footprint Analysis: mpnrdgtzxz</w:t>
      </w:r>
    </w:p>
    <w:p>
      <w:pPr>
        <w:pStyle w:val="FirstParagraph"/>
      </w:pPr>
      <w:r>
        <w:rPr>
          <w:bCs/>
          <w:b/>
        </w:rPr>
        <w:t xml:space="preserve">Company:</w:t>
      </w:r>
      <w:r>
        <w:t xml:space="preserve"> </w:t>
      </w:r>
      <w:r>
        <w:t xml:space="preserve">gntidkoryk</w:t>
      </w:r>
    </w:p>
    <w:p>
      <w:pPr>
        <w:pStyle w:val="BodyText"/>
      </w:pPr>
      <w:r>
        <w:rPr>
          <w:bCs/>
          <w:b/>
        </w:rPr>
        <w:t xml:space="preserve">Senior Sustainability Consultant:</w:t>
      </w:r>
      <w:r>
        <w:t xml:space="preserve"> </w:t>
      </w:r>
      <w:r>
        <w:t xml:space="preserve">tiwxeriozm</w:t>
      </w:r>
    </w:p>
    <w:bookmarkStart w:id="21" w:name="executive-summary"/>
    <w:p>
      <w:pPr>
        <w:pStyle w:val="Heading2"/>
      </w:pPr>
      <w:r>
        <w:t xml:space="preserve">Executive Summary</w:t>
      </w:r>
    </w:p>
    <w:p>
      <w:pPr>
        <w:pStyle w:val="FirstParagraph"/>
      </w:pPr>
      <w:r>
        <w:t xml:space="preserve">This report presents a detailed Product Carbon Footprint (PCF) analysis for \'mpnrdgtzxz\', a product manufactured by gntidkoryk. Conducted by Senior Sustainability Consultant tiwxeriozm, specializing in GHG Protocol, this analysis quantifies the greenhouse gas emissions associated with the product\'s entire lifecycle, from material acquisition to end-of-life. The assessment adheres to the GHG Protocol Product Standard, including the 2026 Land Sector and Removals (LSR) update, with a focus on comprehensive Scope 3 reporting. The total carbon footprint for one functional unit of mpnrdgtzxz is calculated to be</w:t>
      </w:r>
      <w:r>
        <w:t xml:space="preserve"> </w:t>
      </w:r>
      <w:r>
        <w:rPr>
          <w:bCs/>
          <w:b/>
        </w:rPr>
        <w:t xml:space="preserve">30.749 kg CO2e</w:t>
      </w:r>
      <w:r>
        <w:t xml:space="preserve">. Key emission hotspots include materials and the product\'s use phase, highlighting opportunities for targeted decarbonization efforts.</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The Product Carbon Footprint (PCF) analysis for mpnrdgtzxz follows a "Cradle-to-Grave" approach, aligning with the GHG Protocol Product Standard. While the primary production boundary is defined as \'factory-gate\' for manufacturing emissions, the overall assessment extends to cover the use phase and end-of-life scenarios to ensure comprehensive Scope 3 reporting as per 2026 requirements, striving for at least 95% coverage of relevant Scope 3 emissions. The analysis methodology comprises five key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methods.</w:t>
      </w:r>
    </w:p>
    <w:p>
      <w:pPr>
        <w:numPr>
          <w:ilvl w:val="0"/>
          <w:numId w:val="1001"/>
        </w:numPr>
        <w:pStyle w:val="Compact"/>
      </w:pPr>
      <w:r>
        <w:rPr>
          <w:bCs/>
          <w:b/>
        </w:rPr>
        <w:t xml:space="preserve">Map Lifecycle:</w:t>
      </w:r>
      <w:r>
        <w:t xml:space="preserve"> </w:t>
      </w:r>
      <w:r>
        <w:t xml:space="preserve">Identify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emissions using activity data and appropriate emission factors.</w:t>
      </w:r>
    </w:p>
    <w:p>
      <w:pPr>
        <w:numPr>
          <w:ilvl w:val="0"/>
          <w:numId w:val="1001"/>
        </w:numPr>
        <w:pStyle w:val="Compact"/>
      </w:pPr>
      <w:r>
        <w:rPr>
          <w:bCs/>
          <w:b/>
        </w:rPr>
        <w:t xml:space="preserve">Review &amp; Report:</w:t>
      </w:r>
      <w:r>
        <w:t xml:space="preserve"> </w:t>
      </w:r>
      <w:r>
        <w:t xml:space="preserve">Identify hotspots, assess reliability, and present findings.</w:t>
      </w:r>
    </w:p>
    <w:bookmarkStart w:id="22" w:name="defined-parameters"/>
    <w:p>
      <w:pPr>
        <w:pStyle w:val="Heading3"/>
      </w:pPr>
      <w:r>
        <w:t xml:space="preserve">1.1. Defined Parameters</w:t>
      </w:r>
    </w:p>
    <w:p>
      <w:pPr>
        <w:numPr>
          <w:ilvl w:val="0"/>
          <w:numId w:val="1002"/>
        </w:numPr>
        <w:pStyle w:val="Compact"/>
      </w:pPr>
      <w:r>
        <w:rPr>
          <w:bCs/>
          <w:b/>
        </w:rPr>
        <w:t xml:space="preserve">Functional Unit:</w:t>
      </w:r>
      <w:r>
        <w:t xml:space="preserve"> </w:t>
      </w:r>
      <w:r>
        <w:t xml:space="preserve">1.0 unit of mpnrdgtzxz</w:t>
      </w:r>
    </w:p>
    <w:p>
      <w:pPr>
        <w:numPr>
          <w:ilvl w:val="0"/>
          <w:numId w:val="1002"/>
        </w:numPr>
        <w:pStyle w:val="Compact"/>
      </w:pPr>
      <w:r>
        <w:rPr>
          <w:bCs/>
          <w:b/>
        </w:rPr>
        <w:t xml:space="preserve">System Boundary:</w:t>
      </w:r>
      <w:r>
        <w:t xml:space="preserve"> </w:t>
      </w:r>
      <w:r>
        <w:t xml:space="preserve">Cradle-to-Grave (incorporating upstream, manufacturing, use, and end-of-life stages to meet Scope 3 requirements, despite a \'factory_gate\' focus for direct production activities).</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(Product Standard, incorporating 2026 LSR update).</w:t>
      </w:r>
    </w:p>
    <w:p>
      <w:pPr>
        <w:numPr>
          <w:ilvl w:val="0"/>
          <w:numId w:val="1002"/>
        </w:numPr>
        <w:pStyle w:val="Compact"/>
      </w:pPr>
      <w:r>
        <w:rPr>
          <w:bCs/>
          <w:b/>
        </w:rPr>
        <w:t xml:space="preserve">Allocation:</w:t>
      </w:r>
      <w:r>
        <w:t xml:space="preserve"> </w:t>
      </w:r>
      <w:r>
        <w:t xml:space="preserve">Mass-based for materials, energy-based for use phase.</w:t>
      </w:r>
    </w:p>
    <w:p>
      <w:pPr>
        <w:numPr>
          <w:ilvl w:val="0"/>
          <w:numId w:val="1002"/>
        </w:numPr>
        <w:pStyle w:val="Compact"/>
      </w:pPr>
      <w:r>
        <w:rPr>
          <w:bCs/>
          <w:b/>
        </w:rPr>
        <w:t xml:space="preserve">Senior Sustainability Consultant:</w:t>
      </w:r>
      <w:r>
        <w:t xml:space="preserve"> </w:t>
      </w:r>
      <w:r>
        <w:t xml:space="preserve">tiwxeriozm</w:t>
      </w:r>
    </w:p>
    <w:p>
      <w:pPr>
        <w:numPr>
          <w:ilvl w:val="0"/>
          <w:numId w:val="1002"/>
        </w:numPr>
        <w:pStyle w:val="Compact"/>
      </w:pPr>
      <w:r>
        <w:rPr>
          <w:bCs/>
          <w:b/>
        </w:rPr>
        <w:t xml:space="preserve">Company Name:</w:t>
      </w:r>
      <w:r>
        <w:t xml:space="preserve"> </w:t>
      </w:r>
      <w:r>
        <w:t xml:space="preserve">gntidkoryk</w:t>
      </w:r>
    </w:p>
    <w:p>
      <w:r>
        <w:pict>
          <v:rect style="width:0;height:1.5pt" o:hralign="center" o:hrstd="t" o:hr="t"/>
        </w:pict>
      </w:r>
    </w:p>
    <w:bookmarkEnd w:id="22"/>
    <w:bookmarkEnd w:id="23"/>
    <w:bookmarkStart w:id="29" w:name="lifecycle-mapping-and-data-collection"/>
    <w:p>
      <w:pPr>
        <w:pStyle w:val="Heading2"/>
      </w:pPr>
      <w:r>
        <w:t xml:space="preserve">2. Lifecycle Mapping and Data Collection</w:t>
      </w:r>
    </w:p>
    <w:p>
      <w:pPr>
        <w:pStyle w:val="FirstParagraph"/>
      </w:pPr>
      <w:r>
        <w:t xml:space="preserve">The lifecycle of mpnrdgtzxz is mapped across five main stages, and data is collected from specified sources or estimated based on industry averages where specific data placeholders were provided:</w:t>
      </w:r>
    </w:p>
    <w:bookmarkStart w:id="24" w:name="X2d56dbbe133c19564a2d0415032f8cd83c25933"/>
    <w:p>
      <w:pPr>
        <w:pStyle w:val="Heading3"/>
      </w:pPr>
      <w:r>
        <w:t xml:space="preserve">2.1. Materials Acquisition &amp; Processing (Scope 3 - Category 1: Purchased Goods and Services)</w:t>
      </w:r>
    </w:p>
    <w:p>
      <w:pPr>
        <w:pStyle w:val="FirstParagraph"/>
      </w:pPr>
      <w:r>
        <w:t xml:space="preserve">Detailed Bill of Materials (BOM) data, referenced as "qqikzuro," was used for high-accuracy material impact calculation. The emissions for each component are directly sourced from the provided \'Total Carbon\' values, reflecting their embedded emissions from raw material extraction, processing, and component manufacturing.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6</w:t>
            </w:r>
          </w:p>
        </w:tc>
        <w:tc>
          <w:tcPr/>
          <w:p>
            <w:pPr>
              <w:pStyle w:val="Compact"/>
              <w:jc w:val="left"/>
            </w:pPr>
            <w:r>
              <w:t xml:space="preserve">Glass Screen</w:t>
            </w:r>
          </w:p>
        </w:tc>
        <w:tc>
          <w:tcPr/>
          <w:p>
            <w:pPr>
              <w:pStyle w:val="Compact"/>
              <w:jc w:val="left"/>
            </w:pPr>
            <w:r>
              <w:t xml:space="preserve">Glass</w:t>
            </w:r>
          </w:p>
        </w:tc>
        <w:tc>
          <w:tcPr/>
          <w:p>
            <w:pPr>
              <w:pStyle w:val="Compact"/>
              <w:jc w:val="left"/>
            </w:pPr>
            <w:r>
              <w:t xml:space="preserve">Fabrication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p>
            <w:pPr>
              <w:pStyle w:val="Compact"/>
              <w:jc w:val="left"/>
            </w:pPr>
            <w:r>
              <w:t xml:space="preserve">7</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Mixing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gridSpan w:val="7"/>
          </w:tcPr>
          <w:p>
            <w:pPr>
              <w:pStyle w:val="Compact"/>
              <w:jc w:val="right"/>
            </w:pPr>
            <w:r>
              <w:rPr>
                <w:bCs/>
                <w:b/>
              </w:rPr>
              <w:t xml:space="preserve">Total Material Emissions:</w:t>
            </w:r>
          </w:p>
        </w:tc>
        <w:tc>
          <w:tcPr/>
          <w:p>
            <w:pPr>
              <w:pStyle w:val="Compact"/>
              <w:jc w:val="left"/>
            </w:pPr>
            <w:r>
              <w:rPr>
                <w:bCs/>
                <w:b/>
              </w:rPr>
              <w:t xml:space="preserve">16.90 kg CO2e</w:t>
            </w:r>
          </w:p>
        </w:tc>
      </w:tr>
    </w:tbl>
    <w:bookmarkEnd w:id="24"/>
    <w:bookmarkStart w:id="25" w:name="manufacturing-china"/>
    <w:p>
      <w:pPr>
        <w:pStyle w:val="Heading3"/>
      </w:pPr>
      <w:r>
        <w:t xml:space="preserve">2.2. Manufacturing (China)</w:t>
      </w:r>
    </w:p>
    <w:p>
      <w:pPr>
        <w:pStyle w:val="FirstParagraph"/>
      </w:pPr>
      <w:r>
        <w:t xml:space="preserve">The production phase occurs in China. Energy consumption and renewable energy usage are critical inputs for this stage.</w:t>
      </w:r>
    </w:p>
    <w:p>
      <w:pPr>
        <w:numPr>
          <w:ilvl w:val="0"/>
          <w:numId w:val="1003"/>
        </w:numPr>
        <w:pStyle w:val="Compact"/>
      </w:pPr>
      <w:r>
        <w:rPr>
          <w:bCs/>
          <w:b/>
        </w:rPr>
        <w:t xml:space="preserve">Energy Intensity (kWh/unit):</w:t>
      </w:r>
      <w:r>
        <w:t xml:space="preserve"> </w:t>
      </w:r>
      <w:r>
        <w:t xml:space="preserve">ktkmnykyju (5 kWh/unit)</w:t>
      </w:r>
    </w:p>
    <w:p>
      <w:pPr>
        <w:numPr>
          <w:ilvl w:val="0"/>
          <w:numId w:val="1003"/>
        </w:numPr>
        <w:pStyle w:val="Compact"/>
      </w:pPr>
      <w:r>
        <w:rPr>
          <w:bCs/>
          <w:b/>
        </w:rPr>
        <w:t xml:space="preserve">Renewable Energy Usage:</w:t>
      </w:r>
      <w:r>
        <w:t xml:space="preserve"> </w:t>
      </w:r>
      <w:r>
        <w:t xml:space="preserve">uwngejgtsu (30%)</w:t>
      </w:r>
    </w:p>
    <w:p>
      <w:pPr>
        <w:numPr>
          <w:ilvl w:val="0"/>
          <w:numId w:val="1003"/>
        </w:numPr>
        <w:pStyle w:val="Compact"/>
      </w:pPr>
      <w:r>
        <w:rPr>
          <w:bCs/>
          <w:b/>
        </w:rPr>
        <w:t xml:space="preserve">Non-renewable Energy Usage:</w:t>
      </w:r>
      <w:r>
        <w:t xml:space="preserve"> </w:t>
      </w:r>
      <w:r>
        <w:t xml:space="preserve">70%</w:t>
      </w:r>
    </w:p>
    <w:p>
      <w:pPr>
        <w:numPr>
          <w:ilvl w:val="0"/>
          <w:numId w:val="1003"/>
        </w:numPr>
        <w:pStyle w:val="Compact"/>
      </w:pPr>
      <w:r>
        <w:rPr>
          <w:bCs/>
          <w:b/>
        </w:rPr>
        <w:t xml:space="preserve">China Grid Electricity Emission Factor:</w:t>
      </w:r>
      <w:r>
        <w:t xml:space="preserve"> </w:t>
      </w:r>
      <w:r>
        <w:t xml:space="preserve">0.57 kg CO2e/kWh (2023 average)</w:t>
      </w:r>
    </w:p>
    <w:p>
      <w:pPr>
        <w:numPr>
          <w:ilvl w:val="0"/>
          <w:numId w:val="1003"/>
        </w:numPr>
        <w:pStyle w:val="Compact"/>
      </w:pPr>
      <w:r>
        <w:rPr>
          <w:bCs/>
          <w:b/>
        </w:rPr>
        <w:t xml:space="preserve">Scope 1 Emissions:</w:t>
      </w:r>
      <w:r>
        <w:t xml:space="preserve"> </w:t>
      </w:r>
      <w:r>
        <w:t xml:space="preserve">Assumed negligible due to lack of specific direct fuel combustion or fugitive emissions data for this product-level analysis.</w:t>
      </w:r>
    </w:p>
    <w:bookmarkEnd w:id="25"/>
    <w:bookmarkStart w:id="26" w:name="transport-scope-3---categories-4-9"/>
    <w:p>
      <w:pPr>
        <w:pStyle w:val="Heading3"/>
      </w:pPr>
      <w:r>
        <w:t xml:space="preserve">2.3. Transport (Scope 3 - Categories 4 &amp; 9)</w:t>
      </w:r>
    </w:p>
    <w:p>
      <w:pPr>
        <w:pStyle w:val="FirstParagraph"/>
      </w:pPr>
      <w:r>
        <w:t xml:space="preserve">Logistics data incorporates both upstream (materials to factory) and downstream (product to customer) transportation.</w:t>
      </w:r>
    </w:p>
    <w:p>
      <w:pPr>
        <w:numPr>
          <w:ilvl w:val="0"/>
          <w:numId w:val="1004"/>
        </w:numPr>
        <w:pStyle w:val="Compact"/>
      </w:pPr>
      <w:r>
        <w:rPr>
          <w:bCs/>
          <w:b/>
        </w:rPr>
        <w:t xml:space="preserve">Total Product Mass (Assumed):</w:t>
      </w:r>
      <w:r>
        <w:t xml:space="preserve"> </w:t>
      </w:r>
      <w:r>
        <w:t xml:space="preserve">1.5 kg (for transport calculations)</w:t>
      </w:r>
    </w:p>
    <w:p>
      <w:pPr>
        <w:numPr>
          <w:ilvl w:val="0"/>
          <w:numId w:val="1004"/>
        </w:numPr>
        <w:pStyle w:val="Compact"/>
      </w:pPr>
      <w:r>
        <w:rPr>
          <w:bCs/>
          <w:b/>
        </w:rPr>
        <w:t xml:space="preserve">Transport Mode (Select Mode):</w:t>
      </w:r>
      <w:r>
        <w:t xml:space="preserve"> </w:t>
      </w:r>
      <w:r>
        <w:t xml:space="preserve">Ocean Freight, Truck, Parcel.</w:t>
      </w:r>
    </w:p>
    <w:p>
      <w:pPr>
        <w:numPr>
          <w:ilvl w:val="0"/>
          <w:numId w:val="1004"/>
        </w:numPr>
        <w:pStyle w:val="Compact"/>
      </w:pPr>
      <w:r>
        <w:rPr>
          <w:bCs/>
          <w:b/>
        </w:rPr>
        <w:t xml:space="preserve">Transport Distance (otzugwthog):</w:t>
      </w:r>
    </w:p>
    <w:p>
      <w:pPr>
        <w:numPr>
          <w:ilvl w:val="1"/>
          <w:numId w:val="1005"/>
        </w:numPr>
        <w:pStyle w:val="Compact"/>
      </w:pPr>
      <w:r>
        <w:t xml:space="preserve">Upstream (Europe to China - Ocean Freight): ~20,000 km</w:t>
      </w:r>
    </w:p>
    <w:p>
      <w:pPr>
        <w:numPr>
          <w:ilvl w:val="1"/>
          <w:numId w:val="1005"/>
        </w:numPr>
        <w:pStyle w:val="Compact"/>
      </w:pPr>
      <w:r>
        <w:t xml:space="preserve">Upstream (Local China - Truck): ~500 km</w:t>
      </w:r>
    </w:p>
    <w:p>
      <w:pPr>
        <w:numPr>
          <w:ilvl w:val="1"/>
          <w:numId w:val="1005"/>
        </w:numPr>
        <w:pStyle w:val="Compact"/>
      </w:pPr>
      <w:r>
        <w:t xml:space="preserve">Downstream (China to Europe - Ocean Freight): ~20,000 km</w:t>
      </w:r>
    </w:p>
    <w:p>
      <w:pPr>
        <w:numPr>
          <w:ilvl w:val="1"/>
          <w:numId w:val="1005"/>
        </w:numPr>
        <w:pStyle w:val="Compact"/>
      </w:pPr>
      <w:r>
        <w:t xml:space="preserve">Downstream (Europe Last-Mile - Truck/Parcel): ~300 km</w:t>
      </w:r>
    </w:p>
    <w:p>
      <w:pPr>
        <w:numPr>
          <w:ilvl w:val="0"/>
          <w:numId w:val="1004"/>
        </w:numPr>
        <w:pStyle w:val="Compact"/>
      </w:pPr>
      <w:r>
        <w:rPr>
          <w:bCs/>
          <w:b/>
        </w:rPr>
        <w:t xml:space="preserve">Last-Mile Delivery Channel (Delivery Type):</w:t>
      </w:r>
      <w:r>
        <w:t xml:space="preserve"> </w:t>
      </w:r>
      <w:r>
        <w:t xml:space="preserve">Parcel.</w:t>
      </w:r>
    </w:p>
    <w:p>
      <w:pPr>
        <w:numPr>
          <w:ilvl w:val="0"/>
          <w:numId w:val="1004"/>
        </w:numPr>
        <w:pStyle w:val="Compact"/>
      </w:pPr>
      <w:r>
        <w:rPr>
          <w:bCs/>
          <w:b/>
        </w:rPr>
        <w:t xml:space="preserve">Emission Factor - Ocean Freight (Container Ship):</w:t>
      </w:r>
      <w:r>
        <w:t xml:space="preserve"> </w:t>
      </w:r>
      <w:r>
        <w:t xml:space="preserve">0.01 kg CO2e/tonne-km</w:t>
      </w:r>
    </w:p>
    <w:p>
      <w:pPr>
        <w:numPr>
          <w:ilvl w:val="0"/>
          <w:numId w:val="1004"/>
        </w:numPr>
        <w:pStyle w:val="Compact"/>
      </w:pPr>
      <w:r>
        <w:rPr>
          <w:bCs/>
          <w:b/>
        </w:rPr>
        <w:t xml:space="preserve">Emission Factor - Heavy Duty Truck:</w:t>
      </w:r>
      <w:r>
        <w:t xml:space="preserve"> </w:t>
      </w:r>
      <w:r>
        <w:t xml:space="preserve">0.09 kg CO2e/tonne-km</w:t>
      </w:r>
    </w:p>
    <w:bookmarkEnd w:id="26"/>
    <w:bookmarkStart w:id="27" w:name="X687445901a9235e23446a36286990b6b14efa53"/>
    <w:p>
      <w:pPr>
        <w:pStyle w:val="Heading3"/>
      </w:pPr>
      <w:r>
        <w:t xml:space="preserve">2.4. Use Phase (Scope 3 - Category 11: Use of Sold Products)</w:t>
      </w:r>
    </w:p>
    <w:p>
      <w:pPr>
        <w:pStyle w:val="FirstParagraph"/>
      </w:pPr>
      <w:r>
        <w:t xml:space="preserve">The product\'s lifespan and energy consumption during its active use contribute significantly to its footprint.</w:t>
      </w:r>
    </w:p>
    <w:p>
      <w:pPr>
        <w:numPr>
          <w:ilvl w:val="0"/>
          <w:numId w:val="1006"/>
        </w:numPr>
        <w:pStyle w:val="Compact"/>
      </w:pPr>
      <w:r>
        <w:rPr>
          <w:bCs/>
          <w:b/>
        </w:rPr>
        <w:t xml:space="preserve">Product Lifespan (vwjdooqvhm):</w:t>
      </w:r>
      <w:r>
        <w:t xml:space="preserve"> </w:t>
      </w:r>
      <w:r>
        <w:t xml:space="preserve">5 years</w:t>
      </w:r>
    </w:p>
    <w:p>
      <w:pPr>
        <w:numPr>
          <w:ilvl w:val="0"/>
          <w:numId w:val="1006"/>
        </w:numPr>
        <w:pStyle w:val="Compact"/>
      </w:pPr>
      <w:r>
        <w:rPr>
          <w:bCs/>
          <w:b/>
        </w:rPr>
        <w:t xml:space="preserve">Energy Consumption in Use (gwwtflhtuk):</w:t>
      </w:r>
      <w:r>
        <w:t xml:space="preserve"> </w:t>
      </w:r>
      <w:r>
        <w:t xml:space="preserve">10 kWh/year</w:t>
      </w:r>
    </w:p>
    <w:p>
      <w:pPr>
        <w:numPr>
          <w:ilvl w:val="0"/>
          <w:numId w:val="1006"/>
        </w:numPr>
        <w:pStyle w:val="Compact"/>
      </w:pPr>
      <w:r>
        <w:rPr>
          <w:bCs/>
          <w:b/>
        </w:rPr>
        <w:t xml:space="preserve">Europe Average Grid Electricity Emission Factor:</w:t>
      </w:r>
      <w:r>
        <w:t xml:space="preserve"> </w:t>
      </w:r>
      <w:r>
        <w:t xml:space="preserve">0.27 kg CO2e/kWh (2023 average) (Assuming primary use in Europe, aligning with supply chain focus).</w:t>
      </w:r>
    </w:p>
    <w:bookmarkEnd w:id="27"/>
    <w:bookmarkStart w:id="28" w:name="Xf0f54d76fca960b03138b21c64e05c834a232f5"/>
    <w:p>
      <w:pPr>
        <w:pStyle w:val="Heading3"/>
      </w:pPr>
      <w:r>
        <w:t xml:space="preserve">2.5. End-of-Life (Scope 3 - Category 12: End-of-Life Treatment of Sold Products)</w:t>
      </w:r>
    </w:p>
    <w:p>
      <w:pPr>
        <w:pStyle w:val="FirstParagraph"/>
      </w:pPr>
      <w:r>
        <w:t xml:space="preserve">Circular economy impacts are considered through recyclability and take-back programs.</w:t>
      </w:r>
    </w:p>
    <w:p>
      <w:pPr>
        <w:numPr>
          <w:ilvl w:val="0"/>
          <w:numId w:val="1007"/>
        </w:numPr>
        <w:pStyle w:val="Compact"/>
      </w:pPr>
      <w:r>
        <w:rPr>
          <w:bCs/>
          <w:b/>
        </w:rPr>
        <w:t xml:space="preserve">Recyclability Percentage (pfxdeteuhe):</w:t>
      </w:r>
      <w:r>
        <w:t xml:space="preserve"> </w:t>
      </w:r>
      <w:r>
        <w:t xml:space="preserve">80% (by mass)</w:t>
      </w:r>
    </w:p>
    <w:p>
      <w:pPr>
        <w:numPr>
          <w:ilvl w:val="0"/>
          <w:numId w:val="1007"/>
        </w:numPr>
        <w:pStyle w:val="Compact"/>
      </w:pPr>
      <w:r>
        <w:rPr>
          <w:bCs/>
          <w:b/>
        </w:rPr>
        <w:t xml:space="preserve">Circular/Take-back Programs (ftfzezpyzh):</w:t>
      </w:r>
      <w:r>
        <w:t xml:space="preserve"> </w:t>
      </w:r>
      <w:r>
        <w:t xml:space="preserve">gntidkoryk operates a comprehensive take-back program in key markets, facilitating responsible recycling and refurbishment.</w:t>
      </w:r>
    </w:p>
    <w:p>
      <w:pPr>
        <w:numPr>
          <w:ilvl w:val="0"/>
          <w:numId w:val="1007"/>
        </w:numPr>
        <w:pStyle w:val="Compact"/>
      </w:pPr>
      <w:r>
        <w:rPr>
          <w:bCs/>
          <w:b/>
        </w:rPr>
        <w:t xml:space="preserve">Emission Factor - Landfill (Mixed Waste):</w:t>
      </w:r>
      <w:r>
        <w:t xml:space="preserve"> </w:t>
      </w:r>
      <w:r>
        <w:t xml:space="preserve">0.15 kg CO2e/kg (approximate for mixed municipal solid waste)</w:t>
      </w:r>
    </w:p>
    <w:p>
      <w:pPr>
        <w:numPr>
          <w:ilvl w:val="0"/>
          <w:numId w:val="1007"/>
        </w:numPr>
        <w:pStyle w:val="Compact"/>
      </w:pPr>
      <w:r>
        <w:rPr>
          <w:bCs/>
          <w:b/>
        </w:rPr>
        <w:t xml:space="preserve">Avoided Emissions - Recycling (Average):</w:t>
      </w:r>
      <w:r>
        <w:t xml:space="preserve"> </w:t>
      </w:r>
      <w:r>
        <w:t xml:space="preserve">-2.0 kg CO2e/kg (conservative average for mixed materials, reflecting savings over virgin production)</w:t>
      </w:r>
    </w:p>
    <w:p>
      <w:r>
        <w:pict>
          <v:rect style="width:0;height:1.5pt" o:hralign="center" o:hrstd="t" o:hr="t"/>
        </w:pict>
      </w:r>
    </w:p>
    <w:bookmarkEnd w:id="28"/>
    <w:bookmarkEnd w:id="29"/>
    <w:bookmarkStart w:id="39" w:name="X4eff67be3228dc1408ba045ea13b0013a3b5f0b"/>
    <w:p>
      <w:pPr>
        <w:pStyle w:val="Heading2"/>
      </w:pPr>
      <w:r>
        <w:t xml:space="preserve">3. Emissions Calculation and GHG Protocol Categorization</w:t>
      </w:r>
    </w:p>
    <w:p>
      <w:pPr>
        <w:pStyle w:val="FirstParagraph"/>
      </w:pPr>
      <w:r>
        <w:t xml:space="preserve">Emissions are calculated for each lifecycle stage and categorized according to the GHG Protocol\'s Scope 1, 2, and 3 definitions. The 2026 Land Sector and Removals (LSR) Standard is applied, where applicable, for any land-use related emissions or removals, although not explicitly quantified in this product-level analysis due to lack of specific land-use change data for materials.</w:t>
      </w:r>
    </w:p>
    <w:bookmarkStart w:id="30" w:name="scope-1-direct-emissions"/>
    <w:p>
      <w:pPr>
        <w:pStyle w:val="Heading3"/>
      </w:pPr>
      <w:r>
        <w:t xml:space="preserve">3.1. Scope 1: Direct Emissions</w:t>
      </w:r>
    </w:p>
    <w:p>
      <w:pPr>
        <w:numPr>
          <w:ilvl w:val="0"/>
          <w:numId w:val="1008"/>
        </w:numPr>
        <w:pStyle w:val="Compact"/>
      </w:pPr>
      <w:r>
        <w:rPr>
          <w:bCs/>
          <w:b/>
        </w:rPr>
        <w:t xml:space="preserve">Manufacturing (China):</w:t>
      </w:r>
      <w:r>
        <w:t xml:space="preserve"> </w:t>
      </w:r>
      <w:r>
        <w:t xml:space="preserve">0.00 kg CO2e (Assumed negligible for this product-level assessment due to lack of specific data on direct fuel combustion or fugitive emissions from operations. Further data collection is recommended for a full corporate GHG inventory).</w:t>
      </w:r>
    </w:p>
    <w:bookmarkEnd w:id="30"/>
    <w:bookmarkStart w:id="31" w:name="X940f739cc6425d99b84e128f190b13e064c5cd0"/>
    <w:p>
      <w:pPr>
        <w:pStyle w:val="Heading3"/>
      </w:pPr>
      <w:r>
        <w:t xml:space="preserve">3.2. Scope 2: Indirect Emissions from Purchased Energy</w:t>
      </w:r>
    </w:p>
    <w:p>
      <w:pPr>
        <w:numPr>
          <w:ilvl w:val="0"/>
          <w:numId w:val="1009"/>
        </w:numPr>
        <w:pStyle w:val="Compact"/>
      </w:pPr>
      <w:r>
        <w:rPr>
          <w:bCs/>
          <w:b/>
        </w:rPr>
        <w:t xml:space="preserve">Manufacturing (China - Electricity):</w:t>
      </w:r>
    </w:p>
    <w:p>
      <w:pPr>
        <w:numPr>
          <w:ilvl w:val="1"/>
          <w:numId w:val="1010"/>
        </w:numPr>
        <w:pStyle w:val="Compact"/>
      </w:pPr>
      <w:r>
        <w:t xml:space="preserve">Total energy consumed: 5 kWh/unit</w:t>
      </w:r>
    </w:p>
    <w:p>
      <w:pPr>
        <w:numPr>
          <w:ilvl w:val="1"/>
          <w:numId w:val="1010"/>
        </w:numPr>
        <w:pStyle w:val="Compact"/>
      </w:pPr>
      <w:r>
        <w:t xml:space="preserve">Renewable energy (30%): 1.5 kWh (assumed zero emissions through RECs or direct supply)</w:t>
      </w:r>
    </w:p>
    <w:p>
      <w:pPr>
        <w:numPr>
          <w:ilvl w:val="1"/>
          <w:numId w:val="1010"/>
        </w:numPr>
        <w:pStyle w:val="Compact"/>
      </w:pPr>
      <w:r>
        <w:t xml:space="preserve">Non-renewable energy (70%): 3.5 kWh</w:t>
      </w:r>
    </w:p>
    <w:p>
      <w:pPr>
        <w:numPr>
          <w:ilvl w:val="1"/>
          <w:numId w:val="1010"/>
        </w:numPr>
        <w:pStyle w:val="Compact"/>
      </w:pPr>
      <w:r>
        <w:t xml:space="preserve">Emissions: 3.5 kWh/unit * 0.57 kg CO2e/kWh = 1.995 kg CO2e</w:t>
      </w:r>
    </w:p>
    <w:p>
      <w:pPr>
        <w:numPr>
          <w:ilvl w:val="0"/>
          <w:numId w:val="1009"/>
        </w:numPr>
        <w:pStyle w:val="Compact"/>
      </w:pPr>
      <w:r>
        <w:rPr>
          <w:bCs/>
          <w:b/>
        </w:rPr>
        <w:t xml:space="preserve">Total Scope 2 Emissions: 1.995 kg CO2e</w:t>
      </w:r>
    </w:p>
    <w:bookmarkEnd w:id="31"/>
    <w:bookmarkStart w:id="37" w:name="scope-3-value-chain-emissions"/>
    <w:p>
      <w:pPr>
        <w:pStyle w:val="Heading3"/>
      </w:pPr>
      <w:r>
        <w:t xml:space="preserve">3.3. Scope 3: Value Chain Emissions</w:t>
      </w:r>
    </w:p>
    <w:bookmarkStart w:id="32" w:name="Xab9729a0caae076ca89f2f71668734f92723cf2"/>
    <w:p>
      <w:pPr>
        <w:pStyle w:val="Heading4"/>
      </w:pPr>
      <w:r>
        <w:t xml:space="preserve">3.3.1. Category 1: Purchased Goods and Services (Materials)</w:t>
      </w:r>
    </w:p>
    <w:p>
      <w:pPr>
        <w:numPr>
          <w:ilvl w:val="0"/>
          <w:numId w:val="1011"/>
        </w:numPr>
        <w:pStyle w:val="Compact"/>
      </w:pPr>
      <w:r>
        <w:t xml:space="preserve">Total Material Emissions (from BOM): 16.90 kg CO2e</w:t>
      </w:r>
    </w:p>
    <w:bookmarkEnd w:id="32"/>
    <w:bookmarkStart w:id="33" w:name="X6669a43143349c25ec93e775eebde43de53a73c"/>
    <w:p>
      <w:pPr>
        <w:pStyle w:val="Heading4"/>
      </w:pPr>
      <w:r>
        <w:t xml:space="preserve">3.3.2. Category 4: Upstream Transportation and Distribution</w:t>
      </w:r>
    </w:p>
    <w:p>
      <w:pPr>
        <w:numPr>
          <w:ilvl w:val="0"/>
          <w:numId w:val="1012"/>
        </w:numPr>
        <w:pStyle w:val="Compact"/>
      </w:pPr>
      <w:r>
        <w:rPr>
          <w:bCs/>
          <w:b/>
        </w:rPr>
        <w:t xml:space="preserve">Ocean Freight (Europe to China):</w:t>
      </w:r>
      <w:r>
        <w:t xml:space="preserve"> </w:t>
      </w:r>
      <w:r>
        <w:t xml:space="preserve">20,000 km * 0.0015 tonnes * 0.01 kg CO2e/tonne-km = 0.300 kg CO2e</w:t>
      </w:r>
    </w:p>
    <w:p>
      <w:pPr>
        <w:numPr>
          <w:ilvl w:val="0"/>
          <w:numId w:val="1012"/>
        </w:numPr>
        <w:pStyle w:val="Compact"/>
      </w:pPr>
      <w:r>
        <w:rPr>
          <w:bCs/>
          <w:b/>
        </w:rPr>
        <w:t xml:space="preserve">Local Truck (China):</w:t>
      </w:r>
      <w:r>
        <w:t xml:space="preserve"> </w:t>
      </w:r>
      <w:r>
        <w:t xml:space="preserve">500 km * 0.0015 tonnes * 0.09 kg CO2e/tonne-km = 0.068 kg CO2e</w:t>
      </w:r>
    </w:p>
    <w:p>
      <w:pPr>
        <w:numPr>
          <w:ilvl w:val="0"/>
          <w:numId w:val="1012"/>
        </w:numPr>
        <w:pStyle w:val="Compact"/>
      </w:pPr>
      <w:r>
        <w:rPr>
          <w:bCs/>
          <w:b/>
        </w:rPr>
        <w:t xml:space="preserve">Total Upstream Transport Emissions: 0.368 kg CO2e</w:t>
      </w:r>
    </w:p>
    <w:bookmarkEnd w:id="33"/>
    <w:bookmarkStart w:id="34" w:name="X25a0837e2ca53a982bfb6f58a50970139f4f25f"/>
    <w:p>
      <w:pPr>
        <w:pStyle w:val="Heading4"/>
      </w:pPr>
      <w:r>
        <w:t xml:space="preserve">3.3.3. Category 9: Downstream Transportation and Distribution</w:t>
      </w:r>
    </w:p>
    <w:p>
      <w:pPr>
        <w:numPr>
          <w:ilvl w:val="0"/>
          <w:numId w:val="1013"/>
        </w:numPr>
        <w:pStyle w:val="Compact"/>
      </w:pPr>
      <w:r>
        <w:rPr>
          <w:bCs/>
          <w:b/>
        </w:rPr>
        <w:t xml:space="preserve">Ocean Freight (China to Europe):</w:t>
      </w:r>
      <w:r>
        <w:t xml:space="preserve"> </w:t>
      </w:r>
      <w:r>
        <w:t xml:space="preserve">20,000 km * 0.0015 tonnes * 0.01 kg CO2e/tonne-km = 0.300 kg CO2e</w:t>
      </w:r>
    </w:p>
    <w:p>
      <w:pPr>
        <w:numPr>
          <w:ilvl w:val="0"/>
          <w:numId w:val="1013"/>
        </w:numPr>
        <w:pStyle w:val="Compact"/>
      </w:pPr>
      <w:r>
        <w:rPr>
          <w:bCs/>
          <w:b/>
        </w:rPr>
        <w:t xml:space="preserve">Last-Mile Truck/Parcel (Europe):</w:t>
      </w:r>
      <w:r>
        <w:t xml:space="preserve"> </w:t>
      </w:r>
      <w:r>
        <w:t xml:space="preserve">300 km * 0.0015 tonnes * 0.09 kg CO2e/tonne-km = 0.041 kg CO2e</w:t>
      </w:r>
    </w:p>
    <w:p>
      <w:pPr>
        <w:numPr>
          <w:ilvl w:val="0"/>
          <w:numId w:val="1013"/>
        </w:numPr>
        <w:pStyle w:val="Compact"/>
      </w:pPr>
      <w:r>
        <w:rPr>
          <w:bCs/>
          <w:b/>
        </w:rPr>
        <w:t xml:space="preserve">Total Downstream Transport Emissions: 0.341 kg CO2e</w:t>
      </w:r>
    </w:p>
    <w:bookmarkEnd w:id="34"/>
    <w:bookmarkStart w:id="35" w:name="category-11-use-of-sold-products"/>
    <w:p>
      <w:pPr>
        <w:pStyle w:val="Heading4"/>
      </w:pPr>
      <w:r>
        <w:t xml:space="preserve">3.3.4. Category 11: Use of Sold Products</w:t>
      </w:r>
    </w:p>
    <w:p>
      <w:pPr>
        <w:numPr>
          <w:ilvl w:val="0"/>
          <w:numId w:val="1014"/>
        </w:numPr>
        <w:pStyle w:val="Compact"/>
      </w:pPr>
      <w:r>
        <w:t xml:space="preserve">Total Energy in Use: 10 kWh/year * 5 years = 50 kWh</w:t>
      </w:r>
    </w:p>
    <w:p>
      <w:pPr>
        <w:numPr>
          <w:ilvl w:val="0"/>
          <w:numId w:val="1014"/>
        </w:numPr>
        <w:pStyle w:val="Compact"/>
      </w:pPr>
      <w:r>
        <w:t xml:space="preserve">Emissions: 50 kWh * 0.27 kg CO2e/kWh = 13.50 kg CO2e</w:t>
      </w:r>
    </w:p>
    <w:bookmarkEnd w:id="35"/>
    <w:bookmarkStart w:id="36" w:name="X9f66eef2700632e081dfe139021cb724ffcd2c5"/>
    <w:p>
      <w:pPr>
        <w:pStyle w:val="Heading4"/>
      </w:pPr>
      <w:r>
        <w:t xml:space="preserve">3.3.5. Category 12: End-of-Life Treatment of Sold Products</w:t>
      </w:r>
    </w:p>
    <w:p>
      <w:pPr>
        <w:numPr>
          <w:ilvl w:val="0"/>
          <w:numId w:val="1015"/>
        </w:numPr>
        <w:pStyle w:val="Compact"/>
      </w:pPr>
      <w:r>
        <w:t xml:space="preserve">Non-recyclable portion (20% of 1.5 kg = 0.3 kg) to landfill: 0.3 kg * 0.15 kg CO2e/kg = 0.045 kg CO2e</w:t>
      </w:r>
    </w:p>
    <w:p>
      <w:pPr>
        <w:numPr>
          <w:ilvl w:val="0"/>
          <w:numId w:val="1015"/>
        </w:numPr>
        <w:pStyle w:val="Compact"/>
      </w:pPr>
      <w:r>
        <w:t xml:space="preserve">Recyclable portion (80% of 1.5 kg = 1.2 kg) with avoided emissions: 1.2 kg * -2.0 kg CO2e/kg = -2.400 kg CO2e</w:t>
      </w:r>
    </w:p>
    <w:p>
      <w:pPr>
        <w:numPr>
          <w:ilvl w:val="0"/>
          <w:numId w:val="1015"/>
        </w:numPr>
        <w:pStyle w:val="Compact"/>
      </w:pPr>
      <w:r>
        <w:rPr>
          <w:bCs/>
          <w:b/>
        </w:rPr>
        <w:t xml:space="preserve">Net End-of-Life Emissions: -2.355 kg CO2e</w:t>
      </w:r>
    </w:p>
    <w:bookmarkEnd w:id="36"/>
    <w:bookmarkEnd w:id="37"/>
    <w:bookmarkStart w:id="38" w:name="summary-of-emissions-by-scope"/>
    <w:p>
      <w:pPr>
        <w:pStyle w:val="Heading3"/>
      </w:pPr>
      <w:r>
        <w:t xml:space="preserve">3.4.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 per functional 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1.995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16.900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0.368</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0.341</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13.500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-2.355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30.749 kg CO2e</w:t>
            </w:r>
          </w:p>
        </w:tc>
      </w:tr>
    </w:tbl>
    <w:p>
      <w:pPr>
        <w:pStyle w:val="BodyText"/>
      </w:pPr>
      <w:r>
        <w:rPr>
          <w:iCs/>
          <w:i/>
        </w:rPr>
        <w:t xml:space="preserve">Note: Minor rounding differences may occur in sums.</w:t>
      </w:r>
    </w:p>
    <w:p>
      <w:r>
        <w:pict>
          <v:rect style="width:0;height:1.5pt" o:hralign="center" o:hrstd="t" o:hr="t"/>
        </w:pict>
      </w:r>
    </w:p>
    <w:bookmarkEnd w:id="38"/>
    <w:bookmarkEnd w:id="39"/>
    <w:bookmarkStart w:id="45" w:name="review-and-reporting"/>
    <w:p>
      <w:pPr>
        <w:pStyle w:val="Heading2"/>
      </w:pPr>
      <w:r>
        <w:t xml:space="preserve">4. Review and Reporting</w:t>
      </w:r>
    </w:p>
    <w:bookmarkStart w:id="40" w:name="total-product-carbon-footprint"/>
    <w:p>
      <w:pPr>
        <w:pStyle w:val="Heading3"/>
      </w:pPr>
      <w:r>
        <w:t xml:space="preserve">4.1. Total Product Carbon Footprint</w:t>
      </w:r>
    </w:p>
    <w:p>
      <w:pPr>
        <w:pStyle w:val="FirstParagraph"/>
      </w:pPr>
      <w:r>
        <w:t xml:space="preserve">The total cradle-to-grave Product Carbon Footprint for one functional unit of mpnrdgtzxz is</w:t>
      </w:r>
      <w:r>
        <w:t xml:space="preserve"> </w:t>
      </w:r>
      <w:r>
        <w:rPr>
          <w:bCs/>
          <w:b/>
        </w:rPr>
        <w:t xml:space="preserve">30.749 kg CO2e</w:t>
      </w:r>
      <w:r>
        <w:t xml:space="preserve">.</w:t>
      </w:r>
    </w:p>
    <w:bookmarkEnd w:id="40"/>
    <w:bookmarkStart w:id="41" w:name="emission-hotspots"/>
    <w:p>
      <w:pPr>
        <w:pStyle w:val="Heading3"/>
      </w:pPr>
      <w:r>
        <w:t xml:space="preserve">4.2. Emission Hotspots</w:t>
      </w:r>
    </w:p>
    <w:p>
      <w:pPr>
        <w:pStyle w:val="FirstParagraph"/>
      </w:pPr>
      <w:r>
        <w:t xml:space="preserve">The analysis reveals the following key emission hotspots:</w:t>
      </w:r>
    </w:p>
    <w:p>
      <w:pPr>
        <w:numPr>
          <w:ilvl w:val="0"/>
          <w:numId w:val="1016"/>
        </w:numPr>
        <w:pStyle w:val="Compact"/>
      </w:pPr>
      <w:r>
        <w:rPr>
          <w:bCs/>
          <w:b/>
        </w:rPr>
        <w:t xml:space="preserve">Materials (Scope 3, Category 1):</w:t>
      </w:r>
      <w:r>
        <w:t xml:space="preserve"> </w:t>
      </w:r>
      <w:r>
        <w:t xml:space="preserve">Constitute the largest portion of the footprint at 16.90 kg CO2e (approximately 55% of the total footprint). This highlights the significant embedded emissions in raw material extraction and component manufacturing.</w:t>
      </w:r>
    </w:p>
    <w:p>
      <w:pPr>
        <w:numPr>
          <w:ilvl w:val="0"/>
          <w:numId w:val="1016"/>
        </w:numPr>
        <w:pStyle w:val="Compact"/>
      </w:pPr>
      <w:r>
        <w:rPr>
          <w:bCs/>
          <w:b/>
        </w:rPr>
        <w:t xml:space="preserve">Use Phase (Scope 3, Category 11):</w:t>
      </w:r>
      <w:r>
        <w:t xml:space="preserve"> </w:t>
      </w:r>
      <w:r>
        <w:t xml:space="preserve">Contributes 13.50 kg CO2e (approximately 44% of the total footprint), primarily due to electricity consumption over the product\'s lifespan.</w:t>
      </w:r>
    </w:p>
    <w:p>
      <w:pPr>
        <w:numPr>
          <w:ilvl w:val="0"/>
          <w:numId w:val="1016"/>
        </w:numPr>
        <w:pStyle w:val="Compact"/>
      </w:pPr>
      <w:r>
        <w:rPr>
          <w:bCs/>
          <w:b/>
        </w:rPr>
        <w:t xml:space="preserve">Manufacturing (Scope 2):</w:t>
      </w:r>
      <w:r>
        <w:t xml:space="preserve"> </w:t>
      </w:r>
      <w:r>
        <w:t xml:space="preserve">Accounts for 1.995 kg CO2e (approximately 6.5%), driven by non-renewable electricity usage in the China facility.</w:t>
      </w:r>
    </w:p>
    <w:p>
      <w:pPr>
        <w:numPr>
          <w:ilvl w:val="0"/>
          <w:numId w:val="1016"/>
        </w:numPr>
        <w:pStyle w:val="Compact"/>
      </w:pPr>
      <w:r>
        <w:rPr>
          <w:bCs/>
          <w:b/>
        </w:rPr>
        <w:t xml:space="preserve">End-of-Life (Scope 3, Category 12):</w:t>
      </w:r>
      <w:r>
        <w:t xml:space="preserve"> </w:t>
      </w:r>
      <w:r>
        <w:t xml:space="preserve">Shows a net negative emission of -2.355 kg CO2e due to the high recyclability percentage and the avoided emissions from recycling, demonstrating the positive impact of circular economy initiatives.</w:t>
      </w:r>
    </w:p>
    <w:p>
      <w:pPr>
        <w:numPr>
          <w:ilvl w:val="0"/>
          <w:numId w:val="1016"/>
        </w:numPr>
        <w:pStyle w:val="Compact"/>
      </w:pPr>
      <w:r>
        <w:rPr>
          <w:bCs/>
          <w:b/>
        </w:rPr>
        <w:t xml:space="preserve">Transportation (Scope 3, Categories 4 &amp; 9):</w:t>
      </w:r>
      <w:r>
        <w:t xml:space="preserve"> </w:t>
      </w:r>
      <w:r>
        <w:t xml:space="preserve">Represents a smaller, but still significant, portion at 0.709 kg CO2e (approximately 2.3%), distributed across upstream and downstream logistics.</w:t>
      </w:r>
    </w:p>
    <w:bookmarkEnd w:id="41"/>
    <w:bookmarkStart w:id="42" w:name="scope-3-coverage"/>
    <w:p>
      <w:pPr>
        <w:pStyle w:val="Heading3"/>
      </w:pPr>
      <w:r>
        <w:t xml:space="preserve">4.3. Scope 3 Coverage</w:t>
      </w:r>
    </w:p>
    <w:p>
      <w:pPr>
        <w:pStyle w:val="FirstParagraph"/>
      </w:pPr>
      <w:r>
        <w:t xml:space="preserve">This report quantifies emissions across all major product-related Scope 3 categories (1, 4, 9, 11, and 12). The total Scope 3 emissions amount to 28.754 kg CO2e, representing approximately 93.5% of the total product carbon footprint. While this is slightly below the 95% target, all significant product-related Scope 3 categories have been addressed with detailed data where available, and the remaining 6.5% predominantly comprises Scope 2 emissions. Further efforts to quantify minor Scope 3 categories (e.g., business travel, employee commuting related to the product) or refine data for existing categories could help achieve the 95% threshold.</w:t>
      </w:r>
    </w:p>
    <w:bookmarkEnd w:id="42"/>
    <w:bookmarkStart w:id="44" w:name="reliability-and-recommendations"/>
    <w:p>
      <w:pPr>
        <w:pStyle w:val="Heading3"/>
      </w:pPr>
      <w:r>
        <w:t xml:space="preserve">4.4. Reliability and Recommendations</w:t>
      </w:r>
    </w:p>
    <w:p>
      <w:pPr>
        <w:pStyle w:val="FirstParagraph"/>
      </w:pPr>
      <w:r>
        <w:t xml:space="preserve">The reliability of this assessment is highly dependent on the accuracy of the provided and assumed data. Specific recommendations for gntidkoryk include:</w:t>
      </w:r>
    </w:p>
    <w:p>
      <w:pPr>
        <w:numPr>
          <w:ilvl w:val="0"/>
          <w:numId w:val="1017"/>
        </w:numPr>
        <w:pStyle w:val="Compact"/>
      </w:pPr>
      <w:r>
        <w:rPr>
          <w:bCs/>
          <w:b/>
        </w:rPr>
        <w:t xml:space="preserve">Data Refinement:</w:t>
      </w:r>
      <w:r>
        <w:t xml:space="preserve"> </w:t>
      </w:r>
      <w:r>
        <w:t xml:space="preserve">Collect primary data for Scope 1 emissions in manufacturing and more specific, verifiable emission factors for materials, especially high-impact components like batteries.</w:t>
      </w:r>
    </w:p>
    <w:p>
      <w:pPr>
        <w:numPr>
          <w:ilvl w:val="0"/>
          <w:numId w:val="1017"/>
        </w:numPr>
        <w:pStyle w:val="Compact"/>
      </w:pPr>
      <w:r>
        <w:rPr>
          <w:bCs/>
          <w:b/>
        </w:rPr>
        <w:t xml:space="preserve">Material Decarbonization:</w:t>
      </w:r>
      <w:r>
        <w:t xml:space="preserve"> </w:t>
      </w:r>
      <w:r>
        <w:t xml:space="preserve">Explore opportunities to switch to lower-carbon materials or increase recycled content in high-impact components (e.g., aluminum, plastic enclosure).</w:t>
      </w:r>
    </w:p>
    <w:p>
      <w:pPr>
        <w:numPr>
          <w:ilvl w:val="0"/>
          <w:numId w:val="1017"/>
        </w:numPr>
        <w:pStyle w:val="Compact"/>
      </w:pPr>
      <w:r>
        <w:rPr>
          <w:bCs/>
          <w:b/>
        </w:rPr>
        <w:t xml:space="preserve">Energy Efficiency &amp; Renewables:</w:t>
      </w:r>
      <w:r>
        <w:t xml:space="preserve"> </w:t>
      </w:r>
      <w:r>
        <w:t xml:space="preserve">Further increase renewable energy usage at the manufacturing facility in China and explore energy efficiency improvements to reduce Scope 2 emissions.</w:t>
      </w:r>
    </w:p>
    <w:p>
      <w:pPr>
        <w:numPr>
          <w:ilvl w:val="0"/>
          <w:numId w:val="1017"/>
        </w:numPr>
        <w:pStyle w:val="Compact"/>
      </w:pPr>
      <w:r>
        <w:rPr>
          <w:bCs/>
          <w:b/>
        </w:rPr>
        <w:t xml:space="preserve">Use Phase Optimization:</w:t>
      </w:r>
      <w:r>
        <w:t xml:space="preserve"> </w:t>
      </w:r>
      <w:r>
        <w:t xml:space="preserve">Investigate options to reduce product energy consumption during the use phase or encourage users to utilize renewable energy sources.</w:t>
      </w:r>
    </w:p>
    <w:p>
      <w:pPr>
        <w:numPr>
          <w:ilvl w:val="0"/>
          <w:numId w:val="1017"/>
        </w:numPr>
        <w:pStyle w:val="Compact"/>
      </w:pPr>
      <w:r>
        <w:rPr>
          <w:bCs/>
          <w:b/>
        </w:rPr>
        <w:t xml:space="preserve">Circular Economy Expansion:</w:t>
      </w:r>
      <w:r>
        <w:t xml:space="preserve"> </w:t>
      </w:r>
      <w:r>
        <w:t xml:space="preserve">Continue to strengthen circular economy initiatives, potentially expanding take-back programs and exploring design for disassembly to maximize recycling benefits.</w:t>
      </w:r>
    </w:p>
    <w:p>
      <w:pPr>
        <w:numPr>
          <w:ilvl w:val="0"/>
          <w:numId w:val="1017"/>
        </w:numPr>
        <w:pStyle w:val="Compact"/>
      </w:pPr>
      <w:r>
        <w:rPr>
          <w:bCs/>
          <w:b/>
        </w:rPr>
        <w:t xml:space="preserve">LSR Standard Application:</w:t>
      </w:r>
      <w:r>
        <w:t xml:space="preserve"> </w:t>
      </w:r>
      <w:r>
        <w:t xml:space="preserve">For future iterations, if land-use change data for specific raw material sourcing becomes available, explicitly quantify land-sector emissions/removals according to the 2026 LSR Standard.</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mpnrdgtzxz (Product of gntidkoryk)</dc:title>
  <dc:creator/>
  <dc:description>Detailed Product Carbon Footprint (PCF) analysis report for mpnrdgtzxz by gntidkoryk, following GHG Protocol standards and 2026 LSR update.</dc:description>
  <dc:language>en</dc:language>
  <cp:keywords/>
  <dcterms:created xsi:type="dcterms:W3CDTF">2026-05-30T14:55:59Z</dcterms:created>
  <dcterms:modified xsi:type="dcterms:W3CDTF">2026-05-30T14:55:59Z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