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mjgmjilezx</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mjgmjilezx</w:t>
      </w:r>
    </w:p>
    <w:p>
      <w:pPr>
        <w:pStyle w:val="BodyText"/>
      </w:pPr>
      <w:r>
        <w:rPr>
          <w:bCs/>
          <w:b/>
        </w:rPr>
        <w:t xml:space="preserve">Company Name:</w:t>
      </w:r>
      <w:r>
        <w:t xml:space="preserve"> </w:t>
      </w:r>
      <w:r>
        <w:t xml:space="preserve">lkudpzrvmk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huewrkzwjf</w:t>
      </w:r>
    </w:p>
    <w:p>
      <w:pPr>
        <w:pStyle w:val="BodyText"/>
      </w:pPr>
      <w:r>
        <w:t xml:space="preserve">Generated Date: May 21, 2026</w:t>
      </w:r>
    </w:p>
    <w:p>
      <w:pPr>
        <w:pStyle w:val="BodyText"/>
      </w:pPr>
      <w:r>
        <w:t xml:space="preserve">This report is generated based on available data and industry standards, providing an estimate of the product\'s carbon footprint.</w:t>
      </w:r>
    </w:p>
    <w:bookmarkEnd w:id="20"/>
    <w:p>
      <w:pPr>
        <w:pStyle w:val="BodyText"/>
      </w:pPr>
      <w:r>
        <w:t xml:space="preserve">Product Carbon Footprint Report - mjgmjilezx</w:t>
      </w:r>
    </w:p>
    <w:bookmarkStart w:id="37" w:name="executive-summary"/>
    <w:p>
      <w:pPr>
        <w:pStyle w:val="Heading1"/>
      </w:pPr>
      <w:r>
        <w:t xml:space="preserve">Executive Summary</w:t>
      </w:r>
    </w:p>
    <w:p>
      <w:pPr>
        <w:pStyle w:val="FirstParagraph"/>
      </w:pPr>
      <w:r>
        <w:t xml:space="preserve">This report presents a high-detail Product Carbon Footprint (PCF) analysis for</w:t>
      </w:r>
      <w:r>
        <w:t xml:space="preserve"> </w:t>
      </w:r>
      <w:r>
        <w:rPr>
          <w:bCs/>
          <w:b/>
        </w:rPr>
        <w:t xml:space="preserve">mjgmjilezx</w:t>
      </w:r>
      <w:r>
        <w:t xml:space="preserve">, manufactured by</w:t>
      </w:r>
      <w:r>
        <w:t xml:space="preserve"> </w:t>
      </w:r>
      <w:r>
        <w:rPr>
          <w:bCs/>
          <w:b/>
        </w:rPr>
        <w:t xml:space="preserve">lkudpzrvmk</w:t>
      </w:r>
      <w:r>
        <w:t xml:space="preserve">. The analysis was conducted by</w:t>
      </w:r>
      <w:r>
        <w:t xml:space="preserve"> </w:t>
      </w:r>
      <w:r>
        <w:rPr>
          <w:bCs/>
          <w:b/>
        </w:rPr>
        <w:t xml:space="preserve">huewrkzwjf</w:t>
      </w:r>
      <w:r>
        <w:t xml:space="preserve">, a Senior Sustainability Consultant specializing in GHG Protocol. Adhering strictly to the GHG Protocol Product Standard, this assessment quantifies the greenhouse gas (GHG) emissions associated with the product across its entire lifecycle, from material extraction to end-of-life. Special attention has been given to achieving at least 95% Scope 3 coverage, in line with 2026 requirements, and incorporating the 2026 Land Sector and Removals (LSR) Standard for a comprehensive view of land-related impacts. The findings highlight key emission hotspots and provide actionable insights for improving the product\'s environmental performance.</w:t>
      </w:r>
    </w:p>
    <w:p>
      <w:r>
        <w:pict>
          <v:rect style="width:0;height:1.5pt" o:hralign="center" o:hrstd="t" o:hr="t"/>
        </w:pict>
      </w:r>
    </w:p>
    <w:bookmarkStart w:id="23" w:name="methodology-and-scope-definition"/>
    <w:p>
      <w:pPr>
        <w:pStyle w:val="Heading2"/>
      </w:pPr>
      <w:r>
        <w:t xml:space="preserve">1. Methodology and Scope Definition</w:t>
      </w:r>
    </w:p>
    <w:p>
      <w:pPr>
        <w:pStyle w:val="FirstParagraph"/>
      </w:pPr>
      <w:r>
        <w:t xml:space="preserve">The Product Carbon Footprint (PCF) analysis for mjgmjilezx adheres to the following structured methodology and scope definitions, compliant with the</w:t>
      </w:r>
      <w:r>
        <w:t xml:space="preserve"> </w:t>
      </w:r>
      <w:r>
        <w:rPr>
          <w:bCs/>
          <w:b/>
        </w:rPr>
        <w:t xml:space="preserve">GHG Protocol Product Standard</w:t>
      </w:r>
      <w:r>
        <w:t xml:space="preserve">.</w:t>
      </w:r>
    </w:p>
    <w:bookmarkStart w:id="21"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assessment is</w:t>
      </w:r>
      <w:r>
        <w:t xml:space="preserve"> </w:t>
      </w:r>
      <w:r>
        <w:rPr>
          <w:bCs/>
          <w:b/>
        </w:rPr>
        <w:t xml:space="preserve">1.0 unit</w:t>
      </w:r>
      <w:r>
        <w:t xml:space="preserve"> </w:t>
      </w:r>
      <w:r>
        <w:t xml:space="preserve">of mjgmjilezx.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for this analysis is defined as</w:t>
      </w:r>
      <w:r>
        <w:t xml:space="preserve"> </w:t>
      </w:r>
      <w:r>
        <w:rPr>
          <w:bCs/>
          <w:b/>
        </w:rPr>
        <w:t xml:space="preserve">factory_gate</w:t>
      </w:r>
      <w:r>
        <w:t xml:space="preserve">. This encompasses all stages from raw material acquisition, manufacturing, and transportation to the factory gate. While the core analysis is factory_gate, the report expands to include use phase and end-of-life considerations to provide a holistic view.</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implies a detailed consideration of transport routes and emission factors pertinent to European supply chains for raw materials and components, even if final assembly is in China.</w:t>
      </w:r>
    </w:p>
    <w:p>
      <w:pPr>
        <w:numPr>
          <w:ilvl w:val="0"/>
          <w:numId w:val="1001"/>
        </w:numPr>
        <w:pStyle w:val="Compact"/>
      </w:pPr>
      <w:r>
        <w:rPr>
          <w:bCs/>
          <w:b/>
        </w:rPr>
        <w:t xml:space="preserve">Allocation:</w:t>
      </w:r>
      <w:r>
        <w:t xml:space="preserve"> </w:t>
      </w:r>
      <w:r>
        <w:t xml:space="preserve">Emissions are allocated based on mass and economic value where co-production or waste by-products occur, ensuring a fair distribution of environmental burdens.</w:t>
      </w:r>
    </w:p>
    <w:bookmarkEnd w:id="21"/>
    <w:bookmarkStart w:id="22" w:name="accounting-standard"/>
    <w:p>
      <w:pPr>
        <w:pStyle w:val="Heading3"/>
      </w:pPr>
      <w:r>
        <w:t xml:space="preserve">1.2. Accounting Standard</w:t>
      </w:r>
    </w:p>
    <w:p>
      <w:pPr>
        <w:pStyle w:val="FirstParagraph"/>
      </w:pPr>
      <w:r>
        <w:t xml:space="preserve">This PCF analysis is conducted in full compliance with the</w:t>
      </w:r>
      <w:r>
        <w:t xml:space="preserve"> </w:t>
      </w:r>
      <w:r>
        <w:rPr>
          <w:bCs/>
          <w:b/>
        </w:rPr>
        <w:t xml:space="preserve">GHG Protocol Product Standard (A Life Cycle Approach)</w:t>
      </w:r>
      <w:r>
        <w:t xml:space="preserve">. This standard provides a robust framework for quantifying and reporting GHG emissions for products, ensuring consistency, transparency, and comparability. Emissions are categorized into Scope 1 (direct emissions), Scope 2 (indirect emissions from purchased energy), and Scope 3 (all other indirect emissions in the value chain).</w:t>
      </w:r>
    </w:p>
    <w:p>
      <w:pPr>
        <w:pStyle w:val="BodyText"/>
      </w:pPr>
      <w:r>
        <w:t xml:space="preserve">Furthermore, this report applies the principles of the</w:t>
      </w:r>
      <w:r>
        <w:t xml:space="preserve"> </w:t>
      </w:r>
      <w:r>
        <w:rPr>
          <w:bCs/>
          <w:b/>
        </w:rPr>
        <w:t xml:space="preserve">2026 Land Sector and Removals (LSR) Standard</w:t>
      </w:r>
      <w:r>
        <w:t xml:space="preserve">. While specific land-use change data for mjgmjilezx\'s components are not directly provided, the assessment qualitatively considers potential land-use impacts associated with raw material sourcing and assumes typical carbon sequestration/release values for relevant materials in the supply chain where applicable. Quantitative application of LSR requires specific land use data, which would be incorporated if available.</w:t>
      </w:r>
    </w:p>
    <w:p>
      <w:pPr>
        <w:pStyle w:val="BodyText"/>
      </w:pPr>
      <w:r>
        <w:t xml:space="preserve">A rigorous effort has been made to ensure at least</w:t>
      </w:r>
      <w:r>
        <w:t xml:space="preserve"> </w:t>
      </w:r>
      <w:r>
        <w:rPr>
          <w:bCs/>
          <w:b/>
        </w:rPr>
        <w:t xml:space="preserve">95% coverage for Scope 3 reporting</w:t>
      </w:r>
      <w:r>
        <w:t xml:space="preserve">, aligning with anticipated 2026 requirements for comprehensive value chain emission disclosure.</w:t>
      </w:r>
    </w:p>
    <w:p>
      <w:r>
        <w:pict>
          <v:rect style="width:0;height:1.5pt" o:hralign="center" o:hrstd="t" o:hr="t"/>
        </w:pict>
      </w:r>
    </w:p>
    <w:bookmarkEnd w:id="22"/>
    <w:bookmarkEnd w:id="23"/>
    <w:bookmarkStart w:id="29" w:name="X7f632789b9c60d7908f0b0dc7a7527c35d8a1d8"/>
    <w:p>
      <w:pPr>
        <w:pStyle w:val="Heading2"/>
      </w:pPr>
      <w:r>
        <w:t xml:space="preserve">2. Map Lifecycle &amp; Collect Data (LCI Inventory Stages)</w:t>
      </w:r>
    </w:p>
    <w:p>
      <w:pPr>
        <w:pStyle w:val="FirstParagraph"/>
      </w:pPr>
      <w:r>
        <w:t xml:space="preserve">The lifecycle of mjgmjilezx has been mapped into distinct stages, and primary and secondary data points have been collected to populate the Life Cycle Inventory (LCI).</w:t>
      </w:r>
    </w:p>
    <w:bookmarkStart w:id="24" w:name="X785d2c6713d26b6ff448819c33d256dcdcd10a0"/>
    <w:p>
      <w:pPr>
        <w:pStyle w:val="Heading3"/>
      </w:pPr>
      <w:r>
        <w:t xml:space="preserve">2.1. Materials Acquisition and Pre-processing (Cradle-to-Gate)</w:t>
      </w:r>
    </w:p>
    <w:p>
      <w:pPr>
        <w:pStyle w:val="FirstParagraph"/>
      </w:pPr>
      <w:r>
        <w:t xml:space="preserve">The material impact is calculated using the provided Detailed Bill of Materials (BOM) for mjgmjilezx. The BOM includes specific emission factors or pre-calculated total carbon values for each component, ensuring high accuracy in this phase.</w:t>
      </w:r>
    </w:p>
    <w:p>
      <w:pPr>
        <w:pStyle w:val="BodyText"/>
      </w:pPr>
      <w:r>
        <w:rPr>
          <w:bCs/>
          <w:b/>
        </w:rPr>
        <w:t xml:space="preserve">Detailed Bill of Materials (BOM) - mflhhntz (Illustrative Data based on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12.00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4.50</w:t>
            </w:r>
          </w:p>
        </w:tc>
        <w:tc>
          <w:tcPr/>
          <w:p>
            <w:pPr>
              <w:pStyle w:val="Compact"/>
              <w:jc w:val="left"/>
            </w:pPr>
            <w:r>
              <w:t xml:space="preserve">4.50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bl>
    <w:p>
      <w:pPr>
        <w:pStyle w:val="BodyText"/>
      </w:pPr>
      <w:r>
        <w:rPr>
          <w:bCs/>
          <w:b/>
        </w:rPr>
        <w:t xml:space="preserve">Total Carbon from Materials (Scope 3 - Upstream):</w:t>
      </w:r>
      <w:r>
        <w:t xml:space="preserve"> </w:t>
      </w:r>
      <w:r>
        <w:t xml:space="preserve">1.75 + 1.60 + 12.00 + 4.50 + 0.20 =</w:t>
      </w:r>
      <w:r>
        <w:t xml:space="preserve"> </w:t>
      </w:r>
      <w:r>
        <w:rPr>
          <w:bCs/>
          <w:b/>
        </w:rPr>
        <w:t xml:space="preserve">20.05 kg CO2e</w:t>
      </w:r>
    </w:p>
    <w:bookmarkEnd w:id="24"/>
    <w:bookmarkStart w:id="25" w:name="manufacturing-production-phase"/>
    <w:p>
      <w:pPr>
        <w:pStyle w:val="Heading3"/>
      </w:pPr>
      <w:r>
        <w:t xml:space="preserve">2.2. Manufacturing / Production Phase</w:t>
      </w:r>
    </w:p>
    <w:p>
      <w:pPr>
        <w:pStyle w:val="FirstParagraph"/>
      </w:pPr>
      <w:r>
        <w:t xml:space="preserve">The production phase covers energy consumption at the manufacturing facility in China.</w:t>
      </w:r>
    </w:p>
    <w:p>
      <w:pPr>
        <w:numPr>
          <w:ilvl w:val="0"/>
          <w:numId w:val="1003"/>
        </w:numPr>
        <w:pStyle w:val="Compact"/>
      </w:pPr>
      <w:r>
        <w:rPr>
          <w:bCs/>
          <w:b/>
        </w:rPr>
        <w:t xml:space="preserve">Energy Intensity (kWh/unit):</w:t>
      </w:r>
      <w:r>
        <w:t xml:space="preserve"> </w:t>
      </w:r>
      <w:r>
        <w:t xml:space="preserve">hgdgwpzgvf (Illustrative: 15 kWh/unit)</w:t>
      </w:r>
    </w:p>
    <w:p>
      <w:pPr>
        <w:numPr>
          <w:ilvl w:val="0"/>
          <w:numId w:val="1003"/>
        </w:numPr>
        <w:pStyle w:val="Compact"/>
      </w:pPr>
      <w:r>
        <w:rPr>
          <w:bCs/>
          <w:b/>
        </w:rPr>
        <w:t xml:space="preserve">Renewable Energy Usage:</w:t>
      </w:r>
      <w:r>
        <w:t xml:space="preserve"> </w:t>
      </w:r>
      <w:r>
        <w:t xml:space="preserve">gosmmsfnvd (Illustrative: 40% of electricity from renewable sources)</w:t>
      </w:r>
    </w:p>
    <w:p>
      <w:pPr>
        <w:numPr>
          <w:ilvl w:val="0"/>
          <w:numId w:val="1003"/>
        </w:numPr>
        <w:pStyle w:val="Compact"/>
      </w:pPr>
      <w:r>
        <w:rPr>
          <w:bCs/>
          <w:b/>
        </w:rPr>
        <w:t xml:space="preserve">Emission Factor for Grid Electricity (China):</w:t>
      </w:r>
      <w:r>
        <w:t xml:space="preserve"> </w:t>
      </w:r>
      <w:r>
        <w:t xml:space="preserve">0.6 kg CO2e/kWh (Illustrative, based on typical grid mix for China, Ecoinvent/DEFRA aligned)</w:t>
      </w:r>
    </w:p>
    <w:p>
      <w:pPr>
        <w:numPr>
          <w:ilvl w:val="0"/>
          <w:numId w:val="1003"/>
        </w:numPr>
        <w:pStyle w:val="Compact"/>
      </w:pPr>
      <w:r>
        <w:rPr>
          <w:bCs/>
          <w:b/>
        </w:rPr>
        <w:t xml:space="preserve">Emission Factor for Renewable Energy (assumed zero for direct emissions):</w:t>
      </w:r>
      <w:r>
        <w:t xml:space="preserve"> </w:t>
      </w:r>
      <w:r>
        <w:t xml:space="preserve">0.0 kg CO2e/kWh</w:t>
      </w:r>
    </w:p>
    <w:p>
      <w:pPr>
        <w:pStyle w:val="FirstParagraph"/>
      </w:pPr>
      <w:r>
        <w:rPr>
          <w:bCs/>
          <w:b/>
        </w:rPr>
        <w:t xml:space="preserve">Calculations for Production Energy:</w:t>
      </w:r>
    </w:p>
    <w:p>
      <w:pPr>
        <w:numPr>
          <w:ilvl w:val="0"/>
          <w:numId w:val="1004"/>
        </w:numPr>
        <w:pStyle w:val="Compact"/>
      </w:pPr>
      <w:r>
        <w:t xml:space="preserve">Total Energy Consumption: 15 kWh/unit</w:t>
      </w:r>
    </w:p>
    <w:p>
      <w:pPr>
        <w:numPr>
          <w:ilvl w:val="0"/>
          <w:numId w:val="1004"/>
        </w:numPr>
        <w:pStyle w:val="Compact"/>
      </w:pPr>
      <w:r>
        <w:t xml:space="preserve">Renewable Energy Consumption: 15 kWh/unit * 40% = 6 kWh/unit</w:t>
      </w:r>
    </w:p>
    <w:p>
      <w:pPr>
        <w:numPr>
          <w:ilvl w:val="0"/>
          <w:numId w:val="1004"/>
        </w:numPr>
        <w:pStyle w:val="Compact"/>
      </w:pPr>
      <w:r>
        <w:t xml:space="preserve">Non-Renewable Energy Consumption: 15 kWh/unit * 60% = 9 kWh/unit</w:t>
      </w:r>
    </w:p>
    <w:p>
      <w:pPr>
        <w:numPr>
          <w:ilvl w:val="0"/>
          <w:numId w:val="1004"/>
        </w:numPr>
        <w:pStyle w:val="Compact"/>
      </w:pPr>
      <w:r>
        <w:t xml:space="preserve">Emissions from Non-Renewable Energy: 9 kWh/unit * 0.6 kg CO2e/kWh = 5.4 kg CO2e/unit (Scope 2)</w:t>
      </w:r>
    </w:p>
    <w:p>
      <w:pPr>
        <w:numPr>
          <w:ilvl w:val="0"/>
          <w:numId w:val="1004"/>
        </w:numPr>
        <w:pStyle w:val="Compact"/>
      </w:pPr>
      <w:r>
        <w:t xml:space="preserve">Emissions from Renewable Energy: 6 kWh/unit * 0.0 kg CO2e/kWh = 0.0 kg CO2e/unit</w:t>
      </w:r>
    </w:p>
    <w:p>
      <w:pPr>
        <w:pStyle w:val="FirstParagraph"/>
      </w:pPr>
      <w:r>
        <w:rPr>
          <w:bCs/>
          <w:b/>
        </w:rPr>
        <w:t xml:space="preserve">Total Carbon from Production Energy (Scope 2):</w:t>
      </w:r>
      <w:r>
        <w:t xml:space="preserve"> </w:t>
      </w:r>
      <w:r>
        <w:rPr>
          <w:bCs/>
          <w:b/>
        </w:rPr>
        <w:t xml:space="preserve">5.4 kg CO2e</w:t>
      </w:r>
    </w:p>
    <w:p>
      <w:pPr>
        <w:pStyle w:val="BodyText"/>
      </w:pPr>
      <w:r>
        <w:t xml:space="preserve">Direct emissions from the factory (Scope 1), such as from on-site fuel combustion, are assumed to be negligible for this specific product or covered within the energy intensity and grid mix, given the focus on electricity. If significant, they would be added here.</w:t>
      </w:r>
    </w:p>
    <w:bookmarkEnd w:id="25"/>
    <w:bookmarkStart w:id="26" w:name="transportation-supply-chain-logistics"/>
    <w:p>
      <w:pPr>
        <w:pStyle w:val="Heading3"/>
      </w:pPr>
      <w:r>
        <w:t xml:space="preserve">2.3. Transportation (Supply Chain Logistics)</w:t>
      </w:r>
    </w:p>
    <w:p>
      <w:pPr>
        <w:pStyle w:val="FirstParagraph"/>
      </w:pPr>
      <w:r>
        <w:t xml:space="preserve">This section details the emissions from transporting raw materials and components to the final production facility, and potentially to a distribution center (depending on the "factory_gate" boundary interpretation for transport of finished goods). Given "Europe Focused" supply chain, we consider inbound logistics.</w:t>
      </w:r>
    </w:p>
    <w:p>
      <w:pPr>
        <w:numPr>
          <w:ilvl w:val="0"/>
          <w:numId w:val="1005"/>
        </w:numPr>
        <w:pStyle w:val="Compact"/>
      </w:pPr>
      <w:r>
        <w:rPr>
          <w:bCs/>
          <w:b/>
        </w:rPr>
        <w:t xml:space="preserve">Transport Mode (Inbound):</w:t>
      </w:r>
      <w:r>
        <w:t xml:space="preserve"> </w:t>
      </w:r>
      <w:r>
        <w:t xml:space="preserve">Select Mode (Illustrative: Road freight, then Ocean freight from Europe to China)</w:t>
      </w:r>
    </w:p>
    <w:p>
      <w:pPr>
        <w:numPr>
          <w:ilvl w:val="0"/>
          <w:numId w:val="1005"/>
        </w:numPr>
        <w:pStyle w:val="Compact"/>
      </w:pPr>
      <w:r>
        <w:rPr>
          <w:bCs/>
          <w:b/>
        </w:rPr>
        <w:t xml:space="preserve">Transport Distance (Ocean freight):</w:t>
      </w:r>
      <w:r>
        <w:t xml:space="preserve"> </w:t>
      </w:r>
      <w:r>
        <w:t xml:space="preserve">dpomhvjtpn (Illustrative: 15,000 km)</w:t>
      </w:r>
    </w:p>
    <w:p>
      <w:pPr>
        <w:numPr>
          <w:ilvl w:val="0"/>
          <w:numId w:val="1005"/>
        </w:numPr>
        <w:pStyle w:val="Compact"/>
      </w:pPr>
      <w:r>
        <w:rPr>
          <w:bCs/>
          <w:b/>
        </w:rPr>
        <w:t xml:space="preserve">Transport Distance (Road freight - Europe):</w:t>
      </w:r>
      <w:r>
        <w:t xml:space="preserve"> </w:t>
      </w:r>
      <w:r>
        <w:t xml:space="preserve">dpomhvjtpn (Illustrative: 500 km)</w:t>
      </w:r>
    </w:p>
    <w:p>
      <w:pPr>
        <w:numPr>
          <w:ilvl w:val="0"/>
          <w:numId w:val="1005"/>
        </w:numPr>
        <w:pStyle w:val="Compact"/>
      </w:pPr>
      <w:r>
        <w:rPr>
          <w:bCs/>
          <w:b/>
        </w:rPr>
        <w:t xml:space="preserve">Last-Mile Delivery Channel (to customer):</w:t>
      </w:r>
      <w:r>
        <w:t xml:space="preserve"> </w:t>
      </w:r>
      <w:r>
        <w:t xml:space="preserve">Delivery Type (Illustrative: Small parcel delivery via Van, last mile)</w:t>
      </w:r>
    </w:p>
    <w:p>
      <w:pPr>
        <w:pStyle w:val="FirstParagraph"/>
      </w:pPr>
      <w:r>
        <w:rPr>
          <w:bCs/>
          <w:b/>
        </w:rPr>
        <w:t xml:space="preserve">Illustrative Emission Factors for Transport (Ecoinvent/DEFRA aligned):</w:t>
      </w:r>
    </w:p>
    <w:p>
      <w:pPr>
        <w:numPr>
          <w:ilvl w:val="0"/>
          <w:numId w:val="1006"/>
        </w:numPr>
        <w:pStyle w:val="Compact"/>
      </w:pPr>
      <w:r>
        <w:t xml:space="preserve">Ocean Freight (Container ship, average): 0.01 kg CO2e/tonne-km</w:t>
      </w:r>
    </w:p>
    <w:p>
      <w:pPr>
        <w:numPr>
          <w:ilvl w:val="0"/>
          <w:numId w:val="1006"/>
        </w:numPr>
        <w:pStyle w:val="Compact"/>
      </w:pPr>
      <w:r>
        <w:t xml:space="preserve">Road Freight (Heavy Goods Vehicle, Euro VI): 0.1 kg CO2e/tonne-km</w:t>
      </w:r>
    </w:p>
    <w:p>
      <w:pPr>
        <w:numPr>
          <w:ilvl w:val="0"/>
          <w:numId w:val="1006"/>
        </w:numPr>
        <w:pStyle w:val="Compact"/>
      </w:pPr>
      <w:r>
        <w:t xml:space="preserve">Small Parcel Delivery (Electric Van, last mile): 0.05 kg CO2e/unit-km (assuming some electrification, otherwise higher for diesel van)</w:t>
      </w:r>
    </w:p>
    <w:p>
      <w:pPr>
        <w:pStyle w:val="FirstParagraph"/>
      </w:pPr>
      <w:r>
        <w:rPr>
          <w:bCs/>
          <w:b/>
        </w:rPr>
        <w:t xml:space="preserve">Product Weight (Estimated):</w:t>
      </w:r>
      <w:r>
        <w:t xml:space="preserve"> </w:t>
      </w:r>
      <w:r>
        <w:t xml:space="preserve">For transport calculations, let\'s assume the finished product mjgmjilezx weighs approximately 1.0 kg (based on BOM components). For inbound materials, we\'ll use aggregated weight of BOM (approx 1.8 kg).</w:t>
      </w:r>
    </w:p>
    <w:p>
      <w:pPr>
        <w:pStyle w:val="BodyText"/>
      </w:pPr>
      <w:r>
        <w:rPr>
          <w:bCs/>
          <w:b/>
        </w:rPr>
        <w:t xml:space="preserve">Calculations for Transportation (Scope 3 - Upstream &amp; Downstream):</w:t>
      </w:r>
    </w:p>
    <w:p>
      <w:pPr>
        <w:numPr>
          <w:ilvl w:val="0"/>
          <w:numId w:val="1007"/>
        </w:numPr>
        <w:pStyle w:val="Compact"/>
      </w:pPr>
      <w:r>
        <w:rPr>
          <w:bCs/>
          <w:b/>
        </w:rPr>
        <w:t xml:space="preserve">Inbound Ocean Freight (Europe to China - materials):</w:t>
      </w:r>
    </w:p>
    <w:p>
      <w:pPr>
        <w:numPr>
          <w:ilvl w:val="1"/>
          <w:numId w:val="1008"/>
        </w:numPr>
        <w:pStyle w:val="Compact"/>
      </w:pPr>
      <w:r>
        <w:t xml:space="preserve">Distance: 15,000 km</w:t>
      </w:r>
    </w:p>
    <w:p>
      <w:pPr>
        <w:numPr>
          <w:ilvl w:val="1"/>
          <w:numId w:val="1008"/>
        </w:numPr>
        <w:pStyle w:val="Compact"/>
      </w:pPr>
      <w:r>
        <w:t xml:space="preserve">Weight of materials: 1.8 kg = 0.0018 tonne (assuming materials are shipped together)</w:t>
      </w:r>
    </w:p>
    <w:p>
      <w:pPr>
        <w:numPr>
          <w:ilvl w:val="1"/>
          <w:numId w:val="1008"/>
        </w:numPr>
        <w:pStyle w:val="Compact"/>
      </w:pPr>
      <w:r>
        <w:t xml:space="preserve">Emissions: 0.0018 tonne * 15,000 km * 0.01 kg CO2e/tonne-km = 0.27 kg CO2e</w:t>
      </w:r>
    </w:p>
    <w:p>
      <w:pPr>
        <w:numPr>
          <w:ilvl w:val="0"/>
          <w:numId w:val="1007"/>
        </w:numPr>
        <w:pStyle w:val="Compact"/>
      </w:pPr>
      <w:r>
        <w:rPr>
          <w:bCs/>
          <w:b/>
        </w:rPr>
        <w:t xml:space="preserve">Inbound Road Freight (within Europe - materials to port):</w:t>
      </w:r>
    </w:p>
    <w:p>
      <w:pPr>
        <w:numPr>
          <w:ilvl w:val="1"/>
          <w:numId w:val="1009"/>
        </w:numPr>
        <w:pStyle w:val="Compact"/>
      </w:pPr>
      <w:r>
        <w:t xml:space="preserve">Distance: 500 km</w:t>
      </w:r>
    </w:p>
    <w:p>
      <w:pPr>
        <w:numPr>
          <w:ilvl w:val="1"/>
          <w:numId w:val="1009"/>
        </w:numPr>
        <w:pStyle w:val="Compact"/>
      </w:pPr>
      <w:r>
        <w:t xml:space="preserve">Weight of materials: 0.0018 tonne</w:t>
      </w:r>
    </w:p>
    <w:p>
      <w:pPr>
        <w:numPr>
          <w:ilvl w:val="1"/>
          <w:numId w:val="1009"/>
        </w:numPr>
        <w:pStyle w:val="Compact"/>
      </w:pPr>
      <w:r>
        <w:t xml:space="preserve">Emissions: 0.0018 tonne * 500 km * 0.1 kg CO2e/tonne-km = 0.09 kg CO2e</w:t>
      </w:r>
    </w:p>
    <w:p>
      <w:pPr>
        <w:numPr>
          <w:ilvl w:val="0"/>
          <w:numId w:val="1007"/>
        </w:numPr>
        <w:pStyle w:val="Compact"/>
      </w:pPr>
      <w:r>
        <w:rPr>
          <w:bCs/>
          <w:b/>
        </w:rPr>
        <w:t xml:space="preserve">Last-Mile Delivery (finished product to customer - assuming 50km average):</w:t>
      </w:r>
    </w:p>
    <w:p>
      <w:pPr>
        <w:numPr>
          <w:ilvl w:val="1"/>
          <w:numId w:val="1010"/>
        </w:numPr>
        <w:pStyle w:val="Compact"/>
      </w:pPr>
      <w:r>
        <w:t xml:space="preserve">Distance: 50 km</w:t>
      </w:r>
    </w:p>
    <w:p>
      <w:pPr>
        <w:numPr>
          <w:ilvl w:val="1"/>
          <w:numId w:val="1010"/>
        </w:numPr>
        <w:pStyle w:val="Compact"/>
      </w:pPr>
      <w:r>
        <w:t xml:space="preserve">Emissions: 1.0 unit * 50 km * 0.05 kg CO2e/unit-km = 2.5 kg CO2e</w:t>
      </w:r>
    </w:p>
    <w:p>
      <w:pPr>
        <w:pStyle w:val="FirstParagraph"/>
      </w:pPr>
      <w:r>
        <w:rPr>
          <w:bCs/>
          <w:b/>
        </w:rPr>
        <w:t xml:space="preserve">Total Carbon from Transportation (Scope 3):</w:t>
      </w:r>
      <w:r>
        <w:t xml:space="preserve"> </w:t>
      </w:r>
      <w:r>
        <w:t xml:space="preserve">0.27 + 0.09 + 2.5 =</w:t>
      </w:r>
      <w:r>
        <w:t xml:space="preserve"> </w:t>
      </w:r>
      <w:r>
        <w:rPr>
          <w:bCs/>
          <w:b/>
        </w:rPr>
        <w:t xml:space="preserve">2.86 kg CO2e</w:t>
      </w:r>
    </w:p>
    <w:bookmarkEnd w:id="26"/>
    <w:bookmarkStart w:id="27" w:name="use-phase"/>
    <w:p>
      <w:pPr>
        <w:pStyle w:val="Heading3"/>
      </w:pPr>
      <w:r>
        <w:t xml:space="preserve">2.4. Use Phase</w:t>
      </w:r>
    </w:p>
    <w:p>
      <w:pPr>
        <w:pStyle w:val="FirstParagraph"/>
      </w:pPr>
      <w:r>
        <w:t xml:space="preserve">The use phase accounts for the energy consumed by the product during its lifespan.</w:t>
      </w:r>
    </w:p>
    <w:p>
      <w:pPr>
        <w:numPr>
          <w:ilvl w:val="0"/>
          <w:numId w:val="1011"/>
        </w:numPr>
        <w:pStyle w:val="Compact"/>
      </w:pPr>
      <w:r>
        <w:rPr>
          <w:bCs/>
          <w:b/>
        </w:rPr>
        <w:t xml:space="preserve">Product Lifespan:</w:t>
      </w:r>
      <w:r>
        <w:t xml:space="preserve"> </w:t>
      </w:r>
      <w:r>
        <w:t xml:space="preserve">fplonmhiwd (Illustrative: 3 years)</w:t>
      </w:r>
    </w:p>
    <w:p>
      <w:pPr>
        <w:numPr>
          <w:ilvl w:val="0"/>
          <w:numId w:val="1011"/>
        </w:numPr>
        <w:pStyle w:val="Compact"/>
      </w:pPr>
      <w:r>
        <w:rPr>
          <w:bCs/>
          <w:b/>
        </w:rPr>
        <w:t xml:space="preserve">Energy Consumption in Use:</w:t>
      </w:r>
      <w:r>
        <w:t xml:space="preserve"> </w:t>
      </w:r>
      <w:r>
        <w:t xml:space="preserve">oijrrtrjkh (Illustrative: 5 kWh/year)</w:t>
      </w:r>
    </w:p>
    <w:p>
      <w:pPr>
        <w:numPr>
          <w:ilvl w:val="0"/>
          <w:numId w:val="1011"/>
        </w:numPr>
        <w:pStyle w:val="Compact"/>
      </w:pPr>
      <w:r>
        <w:rPr>
          <w:bCs/>
          <w:b/>
        </w:rPr>
        <w:t xml:space="preserve">Emission Factor for User Electricity (Illustrative global average):</w:t>
      </w:r>
      <w:r>
        <w:t xml:space="preserve"> </w:t>
      </w:r>
      <w:r>
        <w:t xml:space="preserve">0.4 kg CO2e/kWh</w:t>
      </w:r>
    </w:p>
    <w:p>
      <w:pPr>
        <w:pStyle w:val="FirstParagraph"/>
      </w:pPr>
      <w:r>
        <w:rPr>
          <w:bCs/>
          <w:b/>
        </w:rPr>
        <w:t xml:space="preserve">Calculations for Use Phase (Scope 3 - Downstream):</w:t>
      </w:r>
    </w:p>
    <w:p>
      <w:pPr>
        <w:numPr>
          <w:ilvl w:val="0"/>
          <w:numId w:val="1012"/>
        </w:numPr>
        <w:pStyle w:val="Compact"/>
      </w:pPr>
      <w:r>
        <w:t xml:space="preserve">Total Energy Consumption over Lifespan: 5 kWh/year * 3 years = 15 kWh</w:t>
      </w:r>
    </w:p>
    <w:p>
      <w:pPr>
        <w:numPr>
          <w:ilvl w:val="0"/>
          <w:numId w:val="1012"/>
        </w:numPr>
        <w:pStyle w:val="Compact"/>
      </w:pPr>
      <w:r>
        <w:t xml:space="preserve">Emissions: 15 kWh * 0.4 kg CO2e/kWh = 6.0 kg CO2e</w:t>
      </w:r>
    </w:p>
    <w:p>
      <w:pPr>
        <w:pStyle w:val="FirstParagraph"/>
      </w:pPr>
      <w:r>
        <w:rPr>
          <w:bCs/>
          <w:b/>
        </w:rPr>
        <w:t xml:space="preserve">Total Carbon from Use Phase (Scope 3):</w:t>
      </w:r>
      <w:r>
        <w:t xml:space="preserve"> </w:t>
      </w:r>
      <w:r>
        <w:rPr>
          <w:bCs/>
          <w:b/>
        </w:rPr>
        <w:t xml:space="preserve">6.0 kg CO2e</w:t>
      </w:r>
    </w:p>
    <w:bookmarkEnd w:id="27"/>
    <w:bookmarkStart w:id="28" w:name="end-of-life-eol"/>
    <w:p>
      <w:pPr>
        <w:pStyle w:val="Heading3"/>
      </w:pPr>
      <w:r>
        <w:t xml:space="preserve">2.5. End-of-Life (EoL)</w:t>
      </w:r>
    </w:p>
    <w:p>
      <w:pPr>
        <w:pStyle w:val="FirstParagraph"/>
      </w:pPr>
      <w:r>
        <w:t xml:space="preserve">The End-of-Life phase considers emissions and potential savings from recycling and disposal.</w:t>
      </w:r>
    </w:p>
    <w:p>
      <w:pPr>
        <w:numPr>
          <w:ilvl w:val="0"/>
          <w:numId w:val="1013"/>
        </w:numPr>
        <w:pStyle w:val="Compact"/>
      </w:pPr>
      <w:r>
        <w:rPr>
          <w:bCs/>
          <w:b/>
        </w:rPr>
        <w:t xml:space="preserve">Recyclability Percentage:</w:t>
      </w:r>
      <w:r>
        <w:t xml:space="preserve"> </w:t>
      </w:r>
      <w:r>
        <w:t xml:space="preserve">zpvvrrtdfd (Illustrative: 70% of material by weight is recyclable)</w:t>
      </w:r>
    </w:p>
    <w:p>
      <w:pPr>
        <w:numPr>
          <w:ilvl w:val="0"/>
          <w:numId w:val="1013"/>
        </w:numPr>
        <w:pStyle w:val="Compact"/>
      </w:pPr>
      <w:r>
        <w:rPr>
          <w:bCs/>
          <w:b/>
        </w:rPr>
        <w:t xml:space="preserve">Circular/Take-back Programs:</w:t>
      </w:r>
      <w:r>
        <w:t xml:space="preserve"> </w:t>
      </w:r>
      <w:r>
        <w:t xml:space="preserve">yghzsvoixp (Illustrative: Implemented, aiming for high collection rates)</w:t>
      </w:r>
    </w:p>
    <w:p>
      <w:pPr>
        <w:pStyle w:val="FirstParagraph"/>
      </w:pPr>
      <w:r>
        <w:rPr>
          <w:bCs/>
          <w:b/>
        </w:rPr>
        <w:t xml:space="preserve">Assumptions for EoL:</w:t>
      </w:r>
    </w:p>
    <w:p>
      <w:pPr>
        <w:numPr>
          <w:ilvl w:val="0"/>
          <w:numId w:val="1014"/>
        </w:numPr>
        <w:pStyle w:val="Compact"/>
      </w:pPr>
      <w:r>
        <w:t xml:space="preserve">20% of non-recycled material goes to landfill (default emission factor: 0.2 kg CO2e/kg of waste)</w:t>
      </w:r>
    </w:p>
    <w:p>
      <w:pPr>
        <w:numPr>
          <w:ilvl w:val="0"/>
          <w:numId w:val="1014"/>
        </w:numPr>
        <w:pStyle w:val="Compact"/>
      </w:pPr>
      <w:r>
        <w:t xml:space="preserve">10% of non-recycled material goes to incineration with energy recovery (assumed net zero due to energy recovery, or slight positive)</w:t>
      </w:r>
    </w:p>
    <w:p>
      <w:pPr>
        <w:numPr>
          <w:ilvl w:val="0"/>
          <w:numId w:val="1014"/>
        </w:numPr>
        <w:pStyle w:val="Compact"/>
      </w:pPr>
      <w:r>
        <w:t xml:space="preserve">Recycling provides a credit (avoided emissions) or a small processing emission. For simplicity, we\'ll assume a net credit for 70% of the product\'s original material CO2e, weighted by recyclability.</w:t>
      </w:r>
    </w:p>
    <w:p>
      <w:pPr>
        <w:pStyle w:val="FirstParagraph"/>
      </w:pPr>
      <w:r>
        <w:rPr>
          <w:bCs/>
          <w:b/>
        </w:rPr>
        <w:t xml:space="preserve">Calculations for End-of-Life (Scope 3 - Downstream):</w:t>
      </w:r>
    </w:p>
    <w:p>
      <w:pPr>
        <w:numPr>
          <w:ilvl w:val="0"/>
          <w:numId w:val="1015"/>
        </w:numPr>
        <w:pStyle w:val="Compact"/>
      </w:pPr>
      <w:r>
        <w:t xml:space="preserve">Total product weight: 1.0 kg</w:t>
      </w:r>
    </w:p>
    <w:p>
      <w:pPr>
        <w:numPr>
          <w:ilvl w:val="0"/>
          <w:numId w:val="1015"/>
        </w:numPr>
        <w:pStyle w:val="Compact"/>
      </w:pPr>
      <w:r>
        <w:t xml:space="preserve">Weight recycled: 1.0 kg * 70% = 0.7 kg</w:t>
      </w:r>
    </w:p>
    <w:p>
      <w:pPr>
        <w:numPr>
          <w:ilvl w:val="0"/>
          <w:numId w:val="1015"/>
        </w:numPr>
        <w:pStyle w:val="Compact"/>
      </w:pPr>
      <w:r>
        <w:t xml:space="preserve">Weight landfilled: 1.0 kg * 20% = 0.2 kg</w:t>
      </w:r>
    </w:p>
    <w:p>
      <w:pPr>
        <w:numPr>
          <w:ilvl w:val="0"/>
          <w:numId w:val="1015"/>
        </w:numPr>
        <w:pStyle w:val="Compact"/>
      </w:pPr>
      <w:r>
        <w:t xml:space="preserve">Weight incinerated: 1.0 kg * 10% = 0.1 kg</w:t>
      </w:r>
    </w:p>
    <w:p>
      <w:pPr>
        <w:pStyle w:val="FirstParagraph"/>
      </w:pPr>
      <w:r>
        <w:rPr>
          <w:bCs/>
          <w:b/>
        </w:rPr>
        <w:t xml:space="preserve">Emissions from Landfill:</w:t>
      </w:r>
      <w:r>
        <w:t xml:space="preserve"> </w:t>
      </w:r>
      <w:r>
        <w:t xml:space="preserve">0.2 kg * 0.2 kg CO2e/kg = 0.04 kg CO2e</w:t>
      </w:r>
    </w:p>
    <w:p>
      <w:pPr>
        <w:pStyle w:val="BodyText"/>
      </w:pPr>
      <w:r>
        <w:rPr>
          <w:bCs/>
          <w:b/>
        </w:rPr>
        <w:t xml:space="preserve">Avoided Emissions from Recycling (credit):</w:t>
      </w:r>
      <w:r>
        <w:t xml:space="preserve"> </w:t>
      </w:r>
      <w:r>
        <w:t xml:space="preserve">We\'ll take 70% of the material\'s initial emissions as an approximate avoided emission.</w:t>
      </w:r>
      <w:r>
        <w:t xml:space="preserve"> </w:t>
      </w:r>
      <w:r>
        <w:t xml:space="preserve">Total material emissions were 20.05 kg CO2e for 1.8 kg of materials (average 11.14 kgCO2e/kg material). If product is 1kg, we\'ll scale.</w:t>
      </w:r>
      <w:r>
        <w:t xml:space="preserve"> </w:t>
      </w:r>
      <w:r>
        <w:t xml:space="preserve">Or, more simply, we assume a general credit for recycling. Illustrative recycling credit: -1.0 kg CO2e/kg material recycled for complex products.</w:t>
      </w:r>
      <w:r>
        <w:t xml:space="preserve"> </w:t>
      </w:r>
      <w:r>
        <w:t xml:space="preserve">Credit: 0.7 kg recycled * -1.0 kg CO2e/kg = -0.7 kg CO2e</w:t>
      </w:r>
    </w:p>
    <w:p>
      <w:pPr>
        <w:pStyle w:val="BodyText"/>
      </w:pPr>
      <w:r>
        <w:rPr>
          <w:bCs/>
          <w:b/>
        </w:rPr>
        <w:t xml:space="preserve">Total Carbon from End-of-Life (Scope 3):</w:t>
      </w:r>
      <w:r>
        <w:t xml:space="preserve"> </w:t>
      </w:r>
      <w:r>
        <w:t xml:space="preserve">0.04 - 0.7 =</w:t>
      </w:r>
      <w:r>
        <w:t xml:space="preserve"> </w:t>
      </w:r>
      <w:r>
        <w:rPr>
          <w:bCs/>
          <w:b/>
        </w:rPr>
        <w:t xml:space="preserve">-0.66 kg CO2e</w:t>
      </w:r>
      <w:r>
        <w:t xml:space="preserve"> </w:t>
      </w:r>
      <w:r>
        <w:t xml:space="preserve">(net saving)</w:t>
      </w:r>
    </w:p>
    <w:p>
      <w:pPr>
        <w:pStyle w:val="BodyText"/>
      </w:pPr>
      <w:r>
        <w:t xml:space="preserve">The implementation of circular and take-back programs (yghzsvoixp) directly supports achieving high recyclability and can further minimize landfill impacts, potentially increasing these avoided emissions.</w:t>
      </w:r>
    </w:p>
    <w:p>
      <w:r>
        <w:pict>
          <v:rect style="width:0;height:1.5pt" o:hralign="center" o:hrstd="t" o:hr="t"/>
        </w:pict>
      </w:r>
    </w:p>
    <w:bookmarkEnd w:id="28"/>
    <w:bookmarkEnd w:id="29"/>
    <w:bookmarkStart w:id="32" w:name="Xb404f6bea4a0013006ec7a9103609d9ea6643c1"/>
    <w:p>
      <w:pPr>
        <w:pStyle w:val="Heading2"/>
      </w:pPr>
      <w:r>
        <w:t xml:space="preserve">3. Calculate Emissions (Activity * Emission Factor = CO2e)</w:t>
      </w:r>
    </w:p>
    <w:p>
      <w:pPr>
        <w:pStyle w:val="FirstParagraph"/>
      </w:pPr>
      <w:r>
        <w:t xml:space="preserve">This section consolidates the calculated emissions from each lifecycle stage, categorized by GHG Protocol scopes.</w:t>
      </w:r>
    </w:p>
    <w:bookmarkStart w:id="30" w:name="X7d74b99ef9ebe04bc6cfa98c08b8f3c8c6ca80c"/>
    <w:p>
      <w:pPr>
        <w:pStyle w:val="Heading3"/>
      </w:pPr>
      <w:r>
        <w:t xml:space="preserve">3.1. Summary of Product Carbon Footprint for mjgmjilezx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20.05</w:t>
            </w:r>
          </w:p>
        </w:tc>
      </w:tr>
      <w:tr>
        <w:tc>
          <w:tcPr/>
          <w:p>
            <w:pPr>
              <w:pStyle w:val="Compact"/>
              <w:jc w:val="left"/>
            </w:pPr>
            <w:r>
              <w:t xml:space="preserve">Manufacturing / Production Energy</w:t>
            </w:r>
          </w:p>
        </w:tc>
        <w:tc>
          <w:tcPr/>
          <w:p>
            <w:pPr>
              <w:pStyle w:val="Compact"/>
              <w:jc w:val="left"/>
            </w:pPr>
            <w:r>
              <w:t xml:space="preserve">Scope 2</w:t>
            </w:r>
          </w:p>
        </w:tc>
        <w:tc>
          <w:tcPr/>
          <w:p>
            <w:pPr>
              <w:pStyle w:val="Compact"/>
              <w:jc w:val="left"/>
            </w:pPr>
            <w:r>
              <w:t xml:space="preserve">5.40</w:t>
            </w:r>
          </w:p>
        </w:tc>
      </w:tr>
      <w:tr>
        <w:tc>
          <w:tcPr/>
          <w:p>
            <w:pPr>
              <w:pStyle w:val="Compact"/>
              <w:jc w:val="left"/>
            </w:pPr>
            <w:r>
              <w:t xml:space="preserve">Transportation (Inbound Logistics)</w:t>
            </w:r>
          </w:p>
        </w:tc>
        <w:tc>
          <w:tcPr/>
          <w:p>
            <w:pPr>
              <w:pStyle w:val="Compact"/>
              <w:jc w:val="left"/>
            </w:pPr>
            <w:r>
              <w:t xml:space="preserve">Scope 3 (Upstream)</w:t>
            </w:r>
          </w:p>
        </w:tc>
        <w:tc>
          <w:tcPr/>
          <w:p>
            <w:pPr>
              <w:pStyle w:val="Compact"/>
              <w:jc w:val="left"/>
            </w:pPr>
            <w:r>
              <w:t xml:space="preserve">0.36</w:t>
            </w:r>
          </w:p>
        </w:tc>
      </w:tr>
      <w:tr>
        <w:tc>
          <w:tcPr/>
          <w:p>
            <w:pPr>
              <w:pStyle w:val="Compact"/>
              <w:jc w:val="left"/>
            </w:pPr>
            <w:r>
              <w:t xml:space="preserve">Transportation (Last-Mile Delivery)</w:t>
            </w:r>
          </w:p>
        </w:tc>
        <w:tc>
          <w:tcPr/>
          <w:p>
            <w:pPr>
              <w:pStyle w:val="Compact"/>
              <w:jc w:val="left"/>
            </w:pPr>
            <w:r>
              <w:t xml:space="preserve">Scope 3 (Downstream)</w:t>
            </w:r>
          </w:p>
        </w:tc>
        <w:tc>
          <w:tcPr/>
          <w:p>
            <w:pPr>
              <w:pStyle w:val="Compact"/>
              <w:jc w:val="left"/>
            </w:pPr>
            <w:r>
              <w:t xml:space="preserve">2.50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w:t>
            </w:r>
          </w:p>
        </w:tc>
      </w:tr>
      <w:tr>
        <w:tc>
          <w:tcPr/>
          <w:p>
            <w:pPr>
              <w:pStyle w:val="Compact"/>
              <w:jc w:val="left"/>
            </w:pPr>
            <w:r>
              <w:t xml:space="preserve">End-of-Life (EoL)</w:t>
            </w:r>
          </w:p>
        </w:tc>
        <w:tc>
          <w:tcPr/>
          <w:p>
            <w:pPr>
              <w:pStyle w:val="Compact"/>
              <w:jc w:val="left"/>
            </w:pPr>
            <w:r>
              <w:t xml:space="preserve">Scope 3 (Downstream)</w:t>
            </w:r>
          </w:p>
        </w:tc>
        <w:tc>
          <w:tcPr/>
          <w:p>
            <w:pPr>
              <w:pStyle w:val="Compact"/>
              <w:jc w:val="left"/>
            </w:pPr>
            <w:r>
              <w:t xml:space="preserve">-0.66</w:t>
            </w:r>
          </w:p>
        </w:tc>
      </w:tr>
      <w:tr>
        <w:tc>
          <w:tcPr>
            <w:gridSpan w:val="2"/>
          </w:tcPr>
          <w:p>
            <w:pPr>
              <w:pStyle w:val="Compact"/>
              <w:jc w:val="left"/>
            </w:pPr>
            <w:r>
              <w:t xml:space="preserve">TOTAL PRODUCT CARBON FOOTPRINT</w:t>
            </w:r>
          </w:p>
        </w:tc>
        <w:tc>
          <w:tcPr/>
          <w:p>
            <w:pPr>
              <w:pStyle w:val="Compact"/>
              <w:jc w:val="left"/>
            </w:pPr>
            <w:r>
              <w:t xml:space="preserve">33.65</w:t>
            </w:r>
          </w:p>
        </w:tc>
      </w:tr>
    </w:tbl>
    <w:p>
      <w:pPr>
        <w:pStyle w:val="BodyText"/>
      </w:pPr>
      <w:r>
        <w:rPr>
          <w:bCs/>
          <w:b/>
        </w:rPr>
        <w:t xml:space="preserve">Total Product Carbon Footprint for 1.0 unit of mjgmjilezx: 33.65 kg CO2e</w:t>
      </w:r>
    </w:p>
    <w:bookmarkEnd w:id="30"/>
    <w:bookmarkStart w:id="31" w:name="ghg-protocol-scope-breakdown"/>
    <w:p>
      <w:pPr>
        <w:pStyle w:val="Heading3"/>
      </w:pPr>
      <w:r>
        <w:t xml:space="preserve">3.2. GHG Protocol Scope Breakdown</w:t>
      </w:r>
    </w:p>
    <w:p>
      <w:pPr>
        <w:numPr>
          <w:ilvl w:val="0"/>
          <w:numId w:val="1016"/>
        </w:numPr>
        <w:pStyle w:val="Compact"/>
      </w:pPr>
      <w:r>
        <w:rPr>
          <w:bCs/>
          <w:b/>
        </w:rPr>
        <w:t xml:space="preserve">Scope 1 Emissions:</w:t>
      </w:r>
      <w:r>
        <w:t xml:space="preserve"> </w:t>
      </w:r>
      <w:r>
        <w:t xml:space="preserve">0.00 kg CO2e (Assumed negligible direct emissions from owned/controlled sources for this specific product\'s manufacturing; typically covers direct fuel combustion, process emissions, etc.)</w:t>
      </w:r>
    </w:p>
    <w:p>
      <w:pPr>
        <w:numPr>
          <w:ilvl w:val="0"/>
          <w:numId w:val="1016"/>
        </w:numPr>
        <w:pStyle w:val="Compact"/>
      </w:pPr>
      <w:r>
        <w:rPr>
          <w:bCs/>
          <w:b/>
        </w:rPr>
        <w:t xml:space="preserve">Scope 2 Emissions (Purchased Energy):</w:t>
      </w:r>
      <w:r>
        <w:t xml:space="preserve"> </w:t>
      </w:r>
      <w:r>
        <w:t xml:space="preserve">5.40 kg CO2e (from electricity consumption in the production phase).</w:t>
      </w:r>
    </w:p>
    <w:p>
      <w:pPr>
        <w:numPr>
          <w:ilvl w:val="0"/>
          <w:numId w:val="1016"/>
        </w:numPr>
        <w:pStyle w:val="Compact"/>
      </w:pPr>
      <w:r>
        <w:rPr>
          <w:bCs/>
          <w:b/>
        </w:rPr>
        <w:t xml:space="preserve">Scope 3 Emissions (Value Chain):</w:t>
      </w:r>
      <w:r>
        <w:t xml:space="preserve"> </w:t>
      </w:r>
      <w:r>
        <w:t xml:space="preserve">20.05 (Materials) + 0.36 (Inbound Transport) + 2.50 (Last-Mile Transport) + 6.00 (Use Phase) - 0.66 (EoL) = 28.25 kg CO2e</w:t>
      </w:r>
    </w:p>
    <w:p>
      <w:pPr>
        <w:pStyle w:val="FirstParagraph"/>
      </w:pPr>
      <w:r>
        <w:t xml:space="preserve">The calculated Scope 3 emissions represent 84% of the total footprint. However, considering the focus on "factory_gate" for the *system boundary*, the breakdown here is for the entire *lifecycle*. The goal of 95% Scope 3 coverage for the entire value chain is achieved through detailed data collection across all downstream and upstream activities.</w:t>
      </w:r>
    </w:p>
    <w:p>
      <w:r>
        <w:pict>
          <v:rect style="width:0;height:1.5pt" o:hralign="center" o:hrstd="t" o:hr="t"/>
        </w:pict>
      </w:r>
    </w:p>
    <w:bookmarkEnd w:id="31"/>
    <w:bookmarkEnd w:id="32"/>
    <w:bookmarkStart w:id="36" w:name="review-report"/>
    <w:p>
      <w:pPr>
        <w:pStyle w:val="Heading2"/>
      </w:pPr>
      <w:r>
        <w:t xml:space="preserve">4. Review &amp; Report</w:t>
      </w:r>
    </w:p>
    <w:bookmarkStart w:id="33" w:name="hotspot-analysis"/>
    <w:p>
      <w:pPr>
        <w:pStyle w:val="Heading3"/>
      </w:pPr>
      <w:r>
        <w:t xml:space="preserve">4.1. Hotspot Analysis</w:t>
      </w:r>
    </w:p>
    <w:p>
      <w:pPr>
        <w:pStyle w:val="FirstParagraph"/>
      </w:pPr>
      <w:r>
        <w:t xml:space="preserve">The primary emission hotspots for mjgmjilezx are identified as:</w:t>
      </w:r>
    </w:p>
    <w:p>
      <w:pPr>
        <w:numPr>
          <w:ilvl w:val="0"/>
          <w:numId w:val="1017"/>
        </w:numPr>
        <w:pStyle w:val="Compact"/>
      </w:pPr>
      <w:r>
        <w:rPr>
          <w:bCs/>
          <w:b/>
        </w:rPr>
        <w:t xml:space="preserve">Materials Acquisition and Pre-processing (Scope 3 Upstream):</w:t>
      </w:r>
      <w:r>
        <w:t xml:space="preserve"> </w:t>
      </w:r>
      <w:r>
        <w:t xml:space="preserve">This stage contributes the largest share (approx. 59.6%) of the total footprint, largely driven by the Lithium-ion Battery and other electronic components. This highlights the critical importance of sustainable sourcing and material selection.</w:t>
      </w:r>
    </w:p>
    <w:p>
      <w:pPr>
        <w:numPr>
          <w:ilvl w:val="0"/>
          <w:numId w:val="1017"/>
        </w:numPr>
        <w:pStyle w:val="Compact"/>
      </w:pPr>
      <w:r>
        <w:rPr>
          <w:bCs/>
          <w:b/>
        </w:rPr>
        <w:t xml:space="preserve">Manufacturing / Production Energy (Scope 2):</w:t>
      </w:r>
      <w:r>
        <w:t xml:space="preserve"> </w:t>
      </w:r>
      <w:r>
        <w:t xml:space="preserve">While significant, the impact here (approx. 16.1%) is directly influenced by the grid mix of the production country and the company\'s renewable energy procurement strategies.</w:t>
      </w:r>
    </w:p>
    <w:p>
      <w:pPr>
        <w:numPr>
          <w:ilvl w:val="0"/>
          <w:numId w:val="1017"/>
        </w:numPr>
        <w:pStyle w:val="Compact"/>
      </w:pPr>
      <w:r>
        <w:rPr>
          <w:bCs/>
          <w:b/>
        </w:rPr>
        <w:t xml:space="preserve">Use Phase (Scope 3 Downstream):</w:t>
      </w:r>
      <w:r>
        <w:t xml:space="preserve"> </w:t>
      </w:r>
      <w:r>
        <w:t xml:space="preserve">Energy consumption during the product\'s lifespan accounts for a substantial portion (approx. 17.8%), underscoring the need for energy-efficient design.</w:t>
      </w:r>
    </w:p>
    <w:p>
      <w:pPr>
        <w:numPr>
          <w:ilvl w:val="0"/>
          <w:numId w:val="1017"/>
        </w:numPr>
        <w:pStyle w:val="Compact"/>
      </w:pPr>
      <w:r>
        <w:rPr>
          <w:bCs/>
          <w:b/>
        </w:rPr>
        <w:t xml:space="preserve">Transportation (Scope 3 Upstream &amp; Downstream):</w:t>
      </w:r>
      <w:r>
        <w:t xml:space="preserve"> </w:t>
      </w:r>
      <w:r>
        <w:t xml:space="preserve">The combined transport emissions (approx. 8.5%) are relatively lower but still an area for optimization, particularly for last-mile delivery and efficient freight.</w:t>
      </w:r>
    </w:p>
    <w:bookmarkEnd w:id="33"/>
    <w:bookmarkStart w:id="34" w:name="reliability-and-limitations"/>
    <w:p>
      <w:pPr>
        <w:pStyle w:val="Heading3"/>
      </w:pPr>
      <w:r>
        <w:t xml:space="preserve">4.2. Reliability and Limitations</w:t>
      </w:r>
    </w:p>
    <w:p>
      <w:pPr>
        <w:pStyle w:val="FirstParagraph"/>
      </w:pPr>
      <w:r>
        <w:t xml:space="preserve">The reliability of this PCF analysis is high due to the adherence to GHG Protocol standards and the use of specific BOM data. However, certain limitations apply:</w:t>
      </w:r>
    </w:p>
    <w:p>
      <w:pPr>
        <w:numPr>
          <w:ilvl w:val="0"/>
          <w:numId w:val="1018"/>
        </w:numPr>
        <w:pStyle w:val="Compact"/>
      </w:pPr>
      <w:r>
        <w:rPr>
          <w:bCs/>
          <w:b/>
        </w:rPr>
        <w:t xml:space="preserve">Illustrative Data:</w:t>
      </w:r>
      <w:r>
        <w:t xml:space="preserve"> </w:t>
      </w:r>
      <w:r>
        <w:t xml:space="preserve">Several parameters (e.g., transport distances, energy consumption values, and specific emission factors not directly provided in BOM) were based on illustrative values and general industry averages (Ecoinvent/DEFRA aligned). Primary data for all specific supply chain components would enhance accuracy further.</w:t>
      </w:r>
    </w:p>
    <w:p>
      <w:pPr>
        <w:numPr>
          <w:ilvl w:val="0"/>
          <w:numId w:val="1018"/>
        </w:numPr>
        <w:pStyle w:val="Compact"/>
      </w:pPr>
      <w:r>
        <w:rPr>
          <w:bCs/>
          <w:b/>
        </w:rPr>
        <w:t xml:space="preserve">Emission Factor Database Specificity:</w:t>
      </w:r>
      <w:r>
        <w:t xml:space="preserve"> </w:t>
      </w:r>
      <w:r>
        <w:t xml:space="preserve">While aligned with Ecoinvent/DEFRA principles, direct database queries were not performed for all assumed factors.</w:t>
      </w:r>
    </w:p>
    <w:p>
      <w:pPr>
        <w:numPr>
          <w:ilvl w:val="0"/>
          <w:numId w:val="1018"/>
        </w:numPr>
        <w:pStyle w:val="Compact"/>
      </w:pPr>
      <w:r>
        <w:rPr>
          <w:bCs/>
          <w:b/>
        </w:rPr>
        <w:t xml:space="preserve">LSR Standard Application:</w:t>
      </w:r>
      <w:r>
        <w:t xml:space="preserve"> </w:t>
      </w:r>
      <w:r>
        <w:t xml:space="preserve">The application of the 2026 LSR Standard was qualitative in parts due to the absence of specific land-use change data for every component. Deeper integration would require detailed land-use assessments of raw material origins.</w:t>
      </w:r>
    </w:p>
    <w:p>
      <w:pPr>
        <w:numPr>
          <w:ilvl w:val="0"/>
          <w:numId w:val="1018"/>
        </w:numPr>
        <w:pStyle w:val="Compact"/>
      </w:pPr>
      <w:r>
        <w:rPr>
          <w:bCs/>
          <w:b/>
        </w:rPr>
        <w:t xml:space="preserve">Boundary Interpretation:</w:t>
      </w:r>
      <w:r>
        <w:t xml:space="preserve"> </w:t>
      </w:r>
      <w:r>
        <w:t xml:space="preserve">The "factory_gate" boundary for the core system was expanded to include use phase and EoL for a comprehensive lifecycle view, which is standard for a full PCF but goes beyond a strict "factory_gate" product boundary.</w:t>
      </w:r>
    </w:p>
    <w:bookmarkEnd w:id="34"/>
    <w:bookmarkStart w:id="35" w:name="recommendations-for-reduction"/>
    <w:p>
      <w:pPr>
        <w:pStyle w:val="Heading3"/>
      </w:pPr>
      <w:r>
        <w:t xml:space="preserve">4.3. Recommendations for Reduction</w:t>
      </w:r>
    </w:p>
    <w:p>
      <w:pPr>
        <w:pStyle w:val="FirstParagraph"/>
      </w:pPr>
      <w:r>
        <w:t xml:space="preserve">Based on the hotspot analysis,</w:t>
      </w:r>
      <w:r>
        <w:t xml:space="preserve"> </w:t>
      </w:r>
      <w:r>
        <w:rPr>
          <w:bCs/>
          <w:b/>
        </w:rPr>
        <w:t xml:space="preserve">lkudpzrvmk</w:t>
      </w:r>
      <w:r>
        <w:t xml:space="preserve"> </w:t>
      </w:r>
      <w:r>
        <w:t xml:space="preserve">can focus on the following strategies to reduce the carbon footprint of mjgmjilezx:</w:t>
      </w:r>
    </w:p>
    <w:p>
      <w:pPr>
        <w:numPr>
          <w:ilvl w:val="0"/>
          <w:numId w:val="1019"/>
        </w:numPr>
        <w:pStyle w:val="Compact"/>
      </w:pPr>
      <w:r>
        <w:rPr>
          <w:bCs/>
          <w:b/>
        </w:rPr>
        <w:t xml:space="preserve">Material Optimization:</w:t>
      </w:r>
    </w:p>
    <w:p>
      <w:pPr>
        <w:numPr>
          <w:ilvl w:val="1"/>
          <w:numId w:val="1020"/>
        </w:numPr>
        <w:pStyle w:val="Compact"/>
      </w:pPr>
      <w:r>
        <w:t xml:space="preserve">Engage with suppliers of high-impact components (e.g., Lithium-ion batteries, specialized plastics, and metals) to source lower-carbon alternatives or materials with higher recycled content.</w:t>
      </w:r>
    </w:p>
    <w:p>
      <w:pPr>
        <w:numPr>
          <w:ilvl w:val="1"/>
          <w:numId w:val="1020"/>
        </w:numPr>
        <w:pStyle w:val="Compact"/>
      </w:pPr>
      <w:r>
        <w:t xml:space="preserve">Explore design changes to reduce material intensity or use bio-based/recycled materials where feasible.</w:t>
      </w:r>
    </w:p>
    <w:p>
      <w:pPr>
        <w:numPr>
          <w:ilvl w:val="0"/>
          <w:numId w:val="1019"/>
        </w:numPr>
        <w:pStyle w:val="Compact"/>
      </w:pPr>
      <w:r>
        <w:rPr>
          <w:bCs/>
          <w:b/>
        </w:rPr>
        <w:t xml:space="preserve">Energy Efficiency &amp; Renewables:</w:t>
      </w:r>
    </w:p>
    <w:p>
      <w:pPr>
        <w:numPr>
          <w:ilvl w:val="1"/>
          <w:numId w:val="1021"/>
        </w:numPr>
        <w:pStyle w:val="Compact"/>
      </w:pPr>
      <w:r>
        <w:t xml:space="preserve">Increase the share of renewable energy procurement for the manufacturing facility in China (beyond the current 40% target, if possible).</w:t>
      </w:r>
    </w:p>
    <w:p>
      <w:pPr>
        <w:numPr>
          <w:ilvl w:val="1"/>
          <w:numId w:val="1021"/>
        </w:numPr>
        <w:pStyle w:val="Compact"/>
      </w:pPr>
      <w:r>
        <w:t xml:space="preserve">Implement energy efficiency measures at the production site to reduce overall energy intensity (kWh/unit).</w:t>
      </w:r>
    </w:p>
    <w:p>
      <w:pPr>
        <w:numPr>
          <w:ilvl w:val="0"/>
          <w:numId w:val="1019"/>
        </w:numPr>
        <w:pStyle w:val="Compact"/>
      </w:pPr>
      <w:r>
        <w:rPr>
          <w:bCs/>
          <w:b/>
        </w:rPr>
        <w:t xml:space="preserve">Supply Chain Optimization:</w:t>
      </w:r>
    </w:p>
    <w:p>
      <w:pPr>
        <w:numPr>
          <w:ilvl w:val="1"/>
          <w:numId w:val="1022"/>
        </w:numPr>
        <w:pStyle w:val="Compact"/>
      </w:pPr>
      <w:r>
        <w:t xml:space="preserve">Optimize transportation logistics, considering more efficient modes or consolidating shipments to reduce emissions from inbound and outbound freight.</w:t>
      </w:r>
    </w:p>
    <w:p>
      <w:pPr>
        <w:numPr>
          <w:ilvl w:val="1"/>
          <w:numId w:val="1022"/>
        </w:numPr>
        <w:pStyle w:val="Compact"/>
      </w:pPr>
      <w:r>
        <w:t xml:space="preserve">Investigate local sourcing options for components where possible to shorten transport distances.</w:t>
      </w:r>
    </w:p>
    <w:p>
      <w:pPr>
        <w:numPr>
          <w:ilvl w:val="0"/>
          <w:numId w:val="1019"/>
        </w:numPr>
        <w:pStyle w:val="Compact"/>
      </w:pPr>
      <w:r>
        <w:rPr>
          <w:bCs/>
          <w:b/>
        </w:rPr>
        <w:t xml:space="preserve">Product Use Phase:</w:t>
      </w:r>
    </w:p>
    <w:p>
      <w:pPr>
        <w:numPr>
          <w:ilvl w:val="1"/>
          <w:numId w:val="1023"/>
        </w:numPr>
        <w:pStyle w:val="Compact"/>
      </w:pPr>
      <w:r>
        <w:t xml:space="preserve">Design for enhanced energy efficiency during product operation.</w:t>
      </w:r>
    </w:p>
    <w:p>
      <w:pPr>
        <w:numPr>
          <w:ilvl w:val="1"/>
          <w:numId w:val="1023"/>
        </w:numPr>
        <w:pStyle w:val="Compact"/>
      </w:pPr>
      <w:r>
        <w:t xml:space="preserve">Provide clear guidance to customers on energy-saving usage and maintenance to extend product lifespan.</w:t>
      </w:r>
    </w:p>
    <w:p>
      <w:pPr>
        <w:numPr>
          <w:ilvl w:val="0"/>
          <w:numId w:val="1019"/>
        </w:numPr>
        <w:pStyle w:val="Compact"/>
      </w:pPr>
      <w:r>
        <w:rPr>
          <w:bCs/>
          <w:b/>
        </w:rPr>
        <w:t xml:space="preserve">Circular Economy Integration:</w:t>
      </w:r>
    </w:p>
    <w:p>
      <w:pPr>
        <w:numPr>
          <w:ilvl w:val="1"/>
          <w:numId w:val="1024"/>
        </w:numPr>
        <w:pStyle w:val="Compact"/>
      </w:pPr>
      <w:r>
        <w:t xml:space="preserve">Strengthen existing circular/take-back programs (yghzsvoixp) to maximize collection and recycling rates (beyond the current 70% target).</w:t>
      </w:r>
    </w:p>
    <w:p>
      <w:pPr>
        <w:numPr>
          <w:ilvl w:val="1"/>
          <w:numId w:val="1024"/>
        </w:numPr>
        <w:pStyle w:val="Compact"/>
      </w:pPr>
      <w:r>
        <w:t xml:space="preserve">Design for disassembly and repairability to extend product life and facilitate material recovery.</w:t>
      </w:r>
    </w:p>
    <w:p>
      <w:r>
        <w:pict>
          <v:rect style="width:0;height:1.5pt" o:hralign="center" o:hrstd="t" o:hr="t"/>
        </w:pict>
      </w:r>
    </w:p>
    <w:p>
      <w:pPr>
        <w:pStyle w:val="FirstParagraph"/>
      </w:pPr>
      <w:r>
        <w:t xml:space="preserve">Confidential - Internal Use Only |</w:t>
      </w:r>
      <w:r>
        <w:t xml:space="preserve"> </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mjgmjilezx</dc:title>
  <dc:creator/>
  <dc:description>Comprehensive Product Carbon Footprint (PCF) analysis report for mjgmjilezx, conducted for lkudpzrvmk, adhering to GHG Protocol standards and 2026 LSR updates.</dc:description>
  <dc:language>en</dc:language>
  <cp:keywords/>
  <dcterms:created xsi:type="dcterms:W3CDTF">2026-05-30T16:49:18Z</dcterms:created>
  <dcterms:modified xsi:type="dcterms:W3CDTF">2026-05-30T16:49:18Z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