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Methanpol</w:t>
      </w:r>
    </w:p>
    <w:p>
      <w:pPr>
        <w:pStyle w:val="FirstParagraph"/>
      </w:pPr>
      <w:r>
        <w:rPr>
          <w:bCs/>
          <w:b/>
        </w:rPr>
        <w:t xml:space="preserve">carboncalcpcf.com</w:t>
      </w:r>
    </w:p>
    <w:bookmarkStart w:id="20" w:name="product-carbon-footprint-analysis"/>
    <w:p>
      <w:pPr>
        <w:pStyle w:val="Heading1"/>
      </w:pPr>
      <w:r>
        <w:t xml:space="preserve">Product Carbon Footprint Analysis</w:t>
      </w:r>
    </w:p>
    <w:p>
      <w:pPr>
        <w:pStyle w:val="FirstParagraph"/>
      </w:pPr>
      <w:r>
        <w:t xml:space="preserve">For: Methanpol</w:t>
      </w:r>
    </w:p>
    <w:p>
      <w:pPr>
        <w:pStyle w:val="BodyText"/>
      </w:pPr>
      <w:r>
        <w:rPr>
          <w:bCs/>
          <w:b/>
        </w:rPr>
        <w:t xml:space="preserve">Protocol Data (Accounting Standard): ISO 14064</w:t>
      </w:r>
    </w:p>
    <w:p>
      <w:pPr>
        <w:pStyle w:val="BodyText"/>
      </w:pPr>
      <w:r>
        <w:t xml:space="preserve">Disclaimer: This report is generated based on available data and industry standards. While efforts have been made to ensure accuracy and compliance with specified parameters, the actual environmental impact may vary depending on specific operational details and evolving methodologies. This report is intended for informational and internal auditing purposes.</w:t>
      </w:r>
    </w:p>
    <w:p>
      <w:pPr>
        <w:pStyle w:val="BodyText"/>
      </w:pPr>
      <w:r>
        <w:t xml:space="preserve">Generated Date: September 17, 2026</w:t>
      </w:r>
    </w:p>
    <w:p>
      <w:pPr>
        <w:pStyle w:val="BodyText"/>
      </w:pPr>
      <w:r>
        <w:t xml:space="preserve">Senior Sustainability Consultant</w:t>
      </w:r>
    </w:p>
    <w:bookmarkEnd w:id="20"/>
    <w:bookmarkStart w:id="21" w:name="Xbfd0abb5964782765800e399a5141027dd9335e"/>
    <w:p>
      <w:pPr>
        <w:pStyle w:val="Heading1"/>
      </w:pPr>
      <w:r>
        <w:t xml:space="preserve">Product Carbon Footprint Report for Methanpol</w:t>
      </w:r>
    </w:p>
    <w:p>
      <w:pPr>
        <w:pStyle w:val="FirstParagraph"/>
      </w:pPr>
      <w:r>
        <w:t xml:space="preserve">Generated Date: September 17,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"Methanpol," quantified according to the principles and requirements of ISO 14064-1, focusing on robust organizational-level quantification and reporting applied to a product\'s lifecycle. The analysis adopts a \'factory-gate\' system boundary for a functional unit of 1.0 kg of Methanpol, with a geographic scope of final production in Germany and a supply chain focused on Europe. The primary goal is to identify and quantify greenhouse gas (GHG) emissions associated with the production of Methanpol, ensuring audit-readiness through rigorous data documentation and transparent methodology. Key emission hotspots identified include raw material acquisition and energy consumption during manufacturing.</w:t>
      </w:r>
    </w:p>
    <w:p>
      <w:r>
        <w:pict>
          <v:rect style="width:0;height:1.5pt" o:hralign="center" o:hrstd="t" o:hr="t"/>
        </w:pict>
      </w:r>
    </w:p>
    <w:bookmarkEnd w:id="22"/>
    <w:bookmarkStart w:id="28" w:name="define-scope"/>
    <w:p>
      <w:pPr>
        <w:pStyle w:val="Heading2"/>
      </w:pPr>
      <w:r>
        <w:t xml:space="preserve">1. Define Scope</w:t>
      </w:r>
    </w:p>
    <w:p>
      <w:pPr>
        <w:pStyle w:val="FirstParagraph"/>
      </w:pPr>
      <w:r>
        <w:t xml:space="preserve">The scope definition is crucial for establishing the boundaries and parameters of the Product Carbon Footprint (PCF) study, ensuring consistency and comparability. While a PCF typically falls under ISO 14067, this analysis rigorously applies the principles and requirements of ISO 14064-1 for robust quantification and reporting, focusing on the organizational-level methodology adapted to a product-specific context for audit-readiness.</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kg of Methanpol</w:t>
      </w:r>
    </w:p>
    <w:p>
      <w:pPr>
        <w:numPr>
          <w:ilvl w:val="0"/>
          <w:numId w:val="1001"/>
        </w:numPr>
        <w:pStyle w:val="Compact"/>
      </w:pPr>
      <w:r>
        <w:t xml:space="preserve">This unit serves as the reference basis for all input and output flows, allowing for comparative analysis of environmental impacts.</w:t>
      </w:r>
    </w:p>
    <w:bookmarkEnd w:id="23"/>
    <w:bookmarkStart w:id="24"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factory_gate (Cradle-to-Gate)</w:t>
      </w:r>
    </w:p>
    <w:p>
      <w:pPr>
        <w:numPr>
          <w:ilvl w:val="0"/>
          <w:numId w:val="1002"/>
        </w:numPr>
        <w:pStyle w:val="Compact"/>
      </w:pPr>
      <w:r>
        <w:t xml:space="preserve">This boundary encompasses all lifecycle stages from raw material acquisition, upstream processing, and manufacturing, up to the point where the finished Methanpol leaves the factory gate in Germany. It includes the extraction of raw materials, their processing into intermediate products, transportation of these materials to the manufacturing facility, and the energy consumed during the manufacturing process. Emissions beyond the factory gate (e.g., product distribution, use phase, end-of-life) are excluded from this analysis as per the defined boundary.</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Germany</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This defines the geographical context for emission factors, energy mixes, and transportation networks. Emissions are calculated based on German electricity grid mixes and European-specific transport data where applicable.</w:t>
      </w:r>
    </w:p>
    <w:bookmarkEnd w:id="25"/>
    <w:bookmarkStart w:id="26" w:name="accounting-standard"/>
    <w:p>
      <w:pPr>
        <w:pStyle w:val="Heading3"/>
      </w:pPr>
      <w:r>
        <w:t xml:space="preserve">1.4 Accounting Standard</w:t>
      </w:r>
    </w:p>
    <w:p>
      <w:pPr>
        <w:numPr>
          <w:ilvl w:val="0"/>
          <w:numId w:val="1004"/>
        </w:numPr>
        <w:pStyle w:val="Compact"/>
      </w:pPr>
      <w:r>
        <w:rPr>
          <w:bCs/>
          <w:b/>
        </w:rPr>
        <w:t xml:space="preserve">Accounting Standard:</w:t>
      </w:r>
      <w:r>
        <w:t xml:space="preserve"> </w:t>
      </w:r>
      <w:r>
        <w:t xml:space="preserve">ISO 14064 (Specifically, principles of ISO 14064-1 for organizational GHG inventories are applied to this product-level assessment for quantification and reporting rigor).</w:t>
      </w:r>
    </w:p>
    <w:p>
      <w:pPr>
        <w:numPr>
          <w:ilvl w:val="0"/>
          <w:numId w:val="1004"/>
        </w:numPr>
        <w:pStyle w:val="Compact"/>
      </w:pPr>
      <w:r>
        <w:t xml:space="preserve">This standard provides the framework for quantifying, monitoring, reporting, and verifying greenhouse gas (GHG) emissions and removals. Adherence to ISO 14064-1 ensures a systematic, complete, consistent, relevant, accurate, and transparent approach, critical for audit-readiness.</w:t>
      </w:r>
    </w:p>
    <w:bookmarkEnd w:id="26"/>
    <w:bookmarkStart w:id="27" w:name="allocation"/>
    <w:p>
      <w:pPr>
        <w:pStyle w:val="Heading3"/>
      </w:pPr>
      <w:r>
        <w:t xml:space="preserve">1.5 Allocation</w:t>
      </w:r>
    </w:p>
    <w:p>
      <w:pPr>
        <w:numPr>
          <w:ilvl w:val="0"/>
          <w:numId w:val="1005"/>
        </w:numPr>
        <w:pStyle w:val="Compact"/>
      </w:pPr>
      <w:r>
        <w:rPr>
          <w:bCs/>
          <w:b/>
        </w:rPr>
        <w:t xml:space="preserve">Allocation:</w:t>
      </w:r>
      <w:r>
        <w:t xml:space="preserve"> </w:t>
      </w:r>
      <w:r>
        <w:t xml:space="preserve">For multi-output processes, allocation of emissions to Methanpol is performed based on mass. If co-products or by-products are generated, their environmental burdens are attributed proportionally to their mass output relative to the total mass of products. For recycled materials, the "cut-off" approach is assumed, where recycled content entering the system is considered burden-free, and the burden of recycling is allocated to the new product.</w:t>
      </w:r>
    </w:p>
    <w:p>
      <w:r>
        <w:pict>
          <v:rect style="width:0;height:1.5pt" o:hralign="center" o:hrstd="t" o:hr="t"/>
        </w:pict>
      </w:r>
    </w:p>
    <w:bookmarkEnd w:id="27"/>
    <w:bookmarkEnd w:id="28"/>
    <w:bookmarkStart w:id="33" w:name="map-lifecycle-lci-inventory-stages"/>
    <w:p>
      <w:pPr>
        <w:pStyle w:val="Heading2"/>
      </w:pPr>
      <w:r>
        <w:t xml:space="preserve">2. Map Lifecycle (LCI Inventory Stages)</w:t>
      </w:r>
    </w:p>
    <w:p>
      <w:pPr>
        <w:pStyle w:val="FirstParagraph"/>
      </w:pPr>
      <w:r>
        <w:t xml:space="preserve">The lifecycle of Methanpol, within the defined \'factory-gate\' boundary, is mapped into key inventory stages to systematically identify all relevant inputs and outputs. Given "Methanpol" is a generic term, this analysis assumes it is a polymer primarily derived from natural gas (similar to methanol production followed by polymerization), a common industrial pathway in Europe.</w:t>
      </w:r>
    </w:p>
    <w:bookmarkStart w:id="29" w:name="raw-material-acquisition-pre-processing"/>
    <w:p>
      <w:pPr>
        <w:pStyle w:val="Heading3"/>
      </w:pPr>
      <w:r>
        <w:t xml:space="preserve">2.1 Raw Material Acquisition &amp; Pre-processing</w:t>
      </w:r>
    </w:p>
    <w:p>
      <w:pPr>
        <w:numPr>
          <w:ilvl w:val="0"/>
          <w:numId w:val="1006"/>
        </w:numPr>
        <w:pStyle w:val="Compact"/>
      </w:pPr>
      <w:r>
        <w:rPr>
          <w:bCs/>
          <w:b/>
        </w:rPr>
        <w:t xml:space="preserve">Natural Gas Extraction:</w:t>
      </w:r>
      <w:r>
        <w:t xml:space="preserve"> </w:t>
      </w:r>
      <w:r>
        <w:t xml:space="preserve">Extraction and initial processing of natural gas, which serves as both the primary feedstock and a significant energy source for the synthesis of precursors.</w:t>
      </w:r>
    </w:p>
    <w:p>
      <w:pPr>
        <w:numPr>
          <w:ilvl w:val="0"/>
          <w:numId w:val="1006"/>
        </w:numPr>
        <w:pStyle w:val="Compact"/>
      </w:pPr>
      <w:r>
        <w:rPr>
          <w:bCs/>
          <w:b/>
        </w:rPr>
        <w:t xml:space="preserve">Other Minor Feedstocks/Catalysts:</w:t>
      </w:r>
      <w:r>
        <w:t xml:space="preserve"> </w:t>
      </w:r>
      <w:r>
        <w:t xml:space="preserve">Acquisition and initial processing of catalysts and other minor chemical additives necessary for the polymerization process. These are assumed to have a smaller, but non-negligible, footprint.</w:t>
      </w:r>
    </w:p>
    <w:bookmarkEnd w:id="29"/>
    <w:bookmarkStart w:id="30" w:name="Xa664140b2f5b31b4bb5510f9561a6250c0f25bb"/>
    <w:p>
      <w:pPr>
        <w:pStyle w:val="Heading3"/>
      </w:pPr>
      <w:r>
        <w:t xml:space="preserve">2.2 Material Processing &amp; Intermediate Production</w:t>
      </w:r>
    </w:p>
    <w:p>
      <w:pPr>
        <w:numPr>
          <w:ilvl w:val="0"/>
          <w:numId w:val="1007"/>
        </w:numPr>
        <w:pStyle w:val="Compact"/>
      </w:pPr>
      <w:r>
        <w:rPr>
          <w:bCs/>
          <w:b/>
        </w:rPr>
        <w:t xml:space="preserve">Syngas Production:</w:t>
      </w:r>
      <w:r>
        <w:t xml:space="preserve"> </w:t>
      </w:r>
      <w:r>
        <w:t xml:space="preserve">Conversion of natural gas into synthesis gas (syngas, a mixture of hydrogen and carbon monoxide) via processes like steam reforming. This is typically a highly energy-intensive step.</w:t>
      </w:r>
    </w:p>
    <w:p>
      <w:pPr>
        <w:numPr>
          <w:ilvl w:val="0"/>
          <w:numId w:val="1007"/>
        </w:numPr>
        <w:pStyle w:val="Compact"/>
      </w:pPr>
      <w:r>
        <w:rPr>
          <w:bCs/>
          <w:b/>
        </w:rPr>
        <w:t xml:space="preserve">Monomer Synthesis:</w:t>
      </w:r>
      <w:r>
        <w:t xml:space="preserve"> </w:t>
      </w:r>
      <w:r>
        <w:t xml:space="preserve">Further processing of syngas to produce the specific monomer(s) required for Methanpol. This could involve multiple chemical conversion steps.</w:t>
      </w:r>
    </w:p>
    <w:bookmarkEnd w:id="30"/>
    <w:bookmarkStart w:id="31" w:name="manufacturing-polymerization-finishing"/>
    <w:p>
      <w:pPr>
        <w:pStyle w:val="Heading3"/>
      </w:pPr>
      <w:r>
        <w:t xml:space="preserve">2.3 Manufacturing (Polymerization &amp; Finishing)</w:t>
      </w:r>
    </w:p>
    <w:p>
      <w:pPr>
        <w:numPr>
          <w:ilvl w:val="0"/>
          <w:numId w:val="1008"/>
        </w:numPr>
        <w:pStyle w:val="Compact"/>
      </w:pPr>
      <w:r>
        <w:rPr>
          <w:bCs/>
          <w:b/>
        </w:rPr>
        <w:t xml:space="preserve">Polymerization:</w:t>
      </w:r>
      <w:r>
        <w:t xml:space="preserve"> </w:t>
      </w:r>
      <w:r>
        <w:t xml:space="preserve">The chemical reaction where monomers are linked together to form the Methanpol polymer. This stage requires significant energy input (electricity for machinery, heat for reactions) and potentially water.</w:t>
      </w:r>
    </w:p>
    <w:p>
      <w:pPr>
        <w:numPr>
          <w:ilvl w:val="0"/>
          <w:numId w:val="1008"/>
        </w:numPr>
        <w:pStyle w:val="Compact"/>
      </w:pPr>
      <w:r>
        <w:rPr>
          <w:bCs/>
          <w:b/>
        </w:rPr>
        <w:t xml:space="preserve">Pelletizing/Shaping:</w:t>
      </w:r>
      <w:r>
        <w:t xml:space="preserve"> </w:t>
      </w:r>
      <w:r>
        <w:t xml:space="preserve">Processing the raw polymer into its final marketable form, such as pellets, which often involves melting, extrusion, and cooling.</w:t>
      </w:r>
    </w:p>
    <w:p>
      <w:pPr>
        <w:numPr>
          <w:ilvl w:val="0"/>
          <w:numId w:val="1008"/>
        </w:numPr>
        <w:pStyle w:val="Compact"/>
      </w:pPr>
      <w:r>
        <w:rPr>
          <w:bCs/>
          <w:b/>
        </w:rPr>
        <w:t xml:space="preserve">Packaging:</w:t>
      </w:r>
      <w:r>
        <w:t xml:space="preserve"> </w:t>
      </w:r>
      <w:r>
        <w:t xml:space="preserve">Production of primary packaging materials (e.g., bags, liners) and their use.</w:t>
      </w:r>
    </w:p>
    <w:bookmarkEnd w:id="31"/>
    <w:bookmarkStart w:id="32" w:name="inbound-transportation"/>
    <w:p>
      <w:pPr>
        <w:pStyle w:val="Heading3"/>
      </w:pPr>
      <w:r>
        <w:t xml:space="preserve">2.4 Inbound Transportation</w:t>
      </w:r>
    </w:p>
    <w:p>
      <w:pPr>
        <w:numPr>
          <w:ilvl w:val="0"/>
          <w:numId w:val="1009"/>
        </w:numPr>
        <w:pStyle w:val="Compact"/>
      </w:pPr>
      <w:r>
        <w:rPr>
          <w:bCs/>
          <w:b/>
        </w:rPr>
        <w:t xml:space="preserve">Transport of Raw Materials:</w:t>
      </w:r>
      <w:r>
        <w:t xml:space="preserve"> </w:t>
      </w:r>
      <w:r>
        <w:t xml:space="preserve">Road transportation of all necessary raw materials (excluding pipeline natural gas, which is considered part of the natural gas upstream emissions) and intermediate products to the manufacturing facility in Germany.</w:t>
      </w:r>
    </w:p>
    <w:p>
      <w:r>
        <w:pict>
          <v:rect style="width:0;height:1.5pt" o:hralign="center" o:hrstd="t" o:hr="t"/>
        </w:pict>
      </w:r>
    </w:p>
    <w:bookmarkEnd w:id="32"/>
    <w:bookmarkEnd w:id="33"/>
    <w:bookmarkStart w:id="37" w:name="Xb57f50a89bf1f3f1837369be949d9d60d6c1272"/>
    <w:p>
      <w:pPr>
        <w:pStyle w:val="Heading2"/>
      </w:pPr>
      <w:r>
        <w:t xml:space="preserve">3. Collect Data (Primary/Secondary Data Points)</w:t>
      </w:r>
    </w:p>
    <w:p>
      <w:pPr>
        <w:pStyle w:val="FirstParagraph"/>
      </w:pPr>
      <w:r>
        <w:t xml:space="preserve">Data collection is critical for accurate quantification. A combination of primary operational data (where available conceptually for this illustrative report) and high-quality secondary data (industry-standard emission factors) are used. The focus on audit-readiness necessitates transparent data sources and methodologies.</w:t>
      </w:r>
    </w:p>
    <w:bookmarkStart w:id="34" w:name="X2fdf0561890999bfc982a4068ef3f554df755fe"/>
    <w:p>
      <w:pPr>
        <w:pStyle w:val="Heading3"/>
      </w:pPr>
      <w:r>
        <w:t xml:space="preserve">3.1 Primary Data (Assumed for 1.0 kg of Methanpol production)</w:t>
      </w:r>
    </w:p>
    <w:p>
      <w:pPr>
        <w:pStyle w:val="FirstParagraph"/>
      </w:pPr>
      <w:r>
        <w:t xml:space="preserve">For a detailed PCF, actual site-specific data would be collected. For this illustrative report, typical industry averages for the European context are assumed for a 1.0 kg functional unit:</w:t>
      </w:r>
    </w:p>
    <w:p>
      <w:pPr>
        <w:numPr>
          <w:ilvl w:val="0"/>
          <w:numId w:val="1010"/>
        </w:numPr>
        <w:pStyle w:val="Compact"/>
      </w:pPr>
      <w:r>
        <w:rPr>
          <w:bCs/>
          <w:b/>
        </w:rPr>
        <w:t xml:space="preserve">Natural Gas Consumption (Feedstock &amp; Process Energy):</w:t>
      </w:r>
      <w:r>
        <w:t xml:space="preserve"> </w:t>
      </w:r>
      <w:r>
        <w:t xml:space="preserve">1.0 Nm³ per 1.0 kg of Methanpol (representing both chemical feedstock and process heating requirements).</w:t>
      </w:r>
    </w:p>
    <w:p>
      <w:pPr>
        <w:numPr>
          <w:ilvl w:val="0"/>
          <w:numId w:val="1010"/>
        </w:numPr>
        <w:pStyle w:val="Compact"/>
      </w:pPr>
      <w:r>
        <w:rPr>
          <w:bCs/>
          <w:b/>
        </w:rPr>
        <w:t xml:space="preserve">Electricity Consumption:</w:t>
      </w:r>
      <w:r>
        <w:t xml:space="preserve"> </w:t>
      </w:r>
      <w:r>
        <w:t xml:space="preserve">0.5 kWh per 1.0 kg of Methanpol (for machinery, cooling, etc.).</w:t>
      </w:r>
    </w:p>
    <w:p>
      <w:pPr>
        <w:numPr>
          <w:ilvl w:val="0"/>
          <w:numId w:val="1010"/>
        </w:numPr>
        <w:pStyle w:val="Compact"/>
      </w:pPr>
      <w:r>
        <w:rPr>
          <w:bCs/>
          <w:b/>
        </w:rPr>
        <w:t xml:space="preserve">Water Consumption:</w:t>
      </w:r>
      <w:r>
        <w:t xml:space="preserve"> </w:t>
      </w:r>
      <w:r>
        <w:t xml:space="preserve">2.0 liters per 1.0 kg of Methanpol (primarily for cooling and cleaning; direct GHG emissions are typically low but included in a comprehensive LCI).</w:t>
      </w:r>
    </w:p>
    <w:p>
      <w:pPr>
        <w:numPr>
          <w:ilvl w:val="0"/>
          <w:numId w:val="1010"/>
        </w:numPr>
        <w:pStyle w:val="Compact"/>
      </w:pPr>
      <w:r>
        <w:rPr>
          <w:bCs/>
          <w:b/>
        </w:rPr>
        <w:t xml:space="preserve">Other Chemicals/Catalysts:</w:t>
      </w:r>
      <w:r>
        <w:t xml:space="preserve"> </w:t>
      </w:r>
      <w:r>
        <w:t xml:space="preserve">Assumed to be minor and integrated into upstream natural gas/energy emission factors for simplicity in this illustrative report. In a real audit, specific quantities would be obtained.</w:t>
      </w:r>
    </w:p>
    <w:bookmarkEnd w:id="34"/>
    <w:bookmarkStart w:id="35" w:name="secondary-data-emission-factors"/>
    <w:p>
      <w:pPr>
        <w:pStyle w:val="Heading3"/>
      </w:pPr>
      <w:r>
        <w:t xml:space="preserve">3.2 Secondary Data (Emission Factors)</w:t>
      </w:r>
    </w:p>
    <w:p>
      <w:pPr>
        <w:pStyle w:val="FirstParagraph"/>
      </w:pPr>
      <w:r>
        <w:t xml:space="preserve">Industry-standard emission factors from recognized databases (e.g., Ecoinvent, DEFRA, or equivalent national/regional sources) are employed to convert activity data into CO2e emissions. These factors account for the Global Warming Potential (GWP) of various GHGs (CO2, CH4, N2O) over a 100-year horizon, expressed as CO2 equivalents (CO2e).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Emission Source</w:t>
            </w:r>
          </w:p>
        </w:tc>
        <w:tc>
          <w:tcPr/>
          <w:p>
            <w:pPr>
              <w:pStyle w:val="Compact"/>
              <w:jc w:val="left"/>
            </w:pPr>
            <w:r>
              <w:t xml:space="preserve">Activity Unit</w:t>
            </w:r>
          </w:p>
        </w:tc>
        <w:tc>
          <w:tcPr/>
          <w:p>
            <w:pPr>
              <w:pStyle w:val="Compact"/>
              <w:jc w:val="left"/>
            </w:pPr>
            <w:r>
              <w:t xml:space="preserve">Emission Factor (kg CO2e / Unit)</w:t>
            </w:r>
          </w:p>
        </w:tc>
        <w:tc>
          <w:tcPr/>
          <w:p>
            <w:pPr>
              <w:pStyle w:val="Compact"/>
              <w:jc w:val="left"/>
            </w:pPr>
            <w:r>
              <w:t xml:space="preserve">Source / Reference</w:t>
            </w:r>
          </w:p>
        </w:tc>
      </w:tr>
      <w:tr>
        <w:tc>
          <w:tcPr/>
          <w:p>
            <w:pPr>
              <w:pStyle w:val="Compact"/>
              <w:jc w:val="left"/>
            </w:pPr>
            <w:r>
              <w:t xml:space="preserve">Electricity (German Grid Mix)</w:t>
            </w:r>
          </w:p>
        </w:tc>
        <w:tc>
          <w:tcPr/>
          <w:p>
            <w:pPr>
              <w:pStyle w:val="Compact"/>
              <w:jc w:val="left"/>
            </w:pPr>
            <w:r>
              <w:t xml:space="preserve">kWh</w:t>
            </w:r>
          </w:p>
        </w:tc>
        <w:tc>
          <w:tcPr/>
          <w:p>
            <w:pPr>
              <w:pStyle w:val="Compact"/>
              <w:jc w:val="left"/>
            </w:pPr>
            <w:r>
              <w:t xml:space="preserve">0.328</w:t>
            </w:r>
          </w:p>
        </w:tc>
        <w:tc>
          <w:tcPr/>
          <w:p>
            <w:pPr>
              <w:pStyle w:val="Compact"/>
              <w:jc w:val="left"/>
            </w:pPr>
            <w:r>
              <w:t xml:space="preserve">Nowtricity 2025 (average emissions in Germany)</w:t>
            </w:r>
          </w:p>
        </w:tc>
      </w:tr>
      <w:tr>
        <w:tc>
          <w:tcPr/>
          <w:p>
            <w:pPr>
              <w:pStyle w:val="Compact"/>
              <w:jc w:val="left"/>
            </w:pPr>
            <w:r>
              <w:t xml:space="preserve">Natural Gas (Combustion &amp; Upstream, Europe)</w:t>
            </w:r>
          </w:p>
        </w:tc>
        <w:tc>
          <w:tcPr/>
          <w:p>
            <w:pPr>
              <w:pStyle w:val="Compact"/>
              <w:jc w:val="left"/>
            </w:pPr>
            <w:r>
              <w:t xml:space="preserve">Nm³</w:t>
            </w:r>
          </w:p>
        </w:tc>
        <w:tc>
          <w:tcPr/>
          <w:p>
            <w:pPr>
              <w:pStyle w:val="Compact"/>
              <w:jc w:val="left"/>
            </w:pPr>
            <w:r>
              <w:t xml:space="preserve">2.44</w:t>
            </w:r>
          </w:p>
        </w:tc>
        <w:tc>
          <w:tcPr/>
          <w:p>
            <w:pPr>
              <w:pStyle w:val="Compact"/>
              <w:jc w:val="left"/>
            </w:pPr>
            <w:r>
              <w:t xml:space="preserve">Derived from Zuno Carbon: 0.244 kg CO2e/kWh * 10 kWh/Nm³ (Europe average, incl. upstream)</w:t>
            </w:r>
          </w:p>
        </w:tc>
      </w:tr>
      <w:tr>
        <w:tc>
          <w:tcPr/>
          <w:p>
            <w:pPr>
              <w:pStyle w:val="Compact"/>
              <w:jc w:val="left"/>
            </w:pPr>
            <w:r>
              <w:t xml:space="preserve">Road Transport (Heavy Duty Truck, Average Laden)</w:t>
            </w:r>
          </w:p>
        </w:tc>
        <w:tc>
          <w:tcPr/>
          <w:p>
            <w:pPr>
              <w:pStyle w:val="Compact"/>
              <w:jc w:val="left"/>
            </w:pPr>
            <w:r>
              <w:t xml:space="preserve">tonne-km</w:t>
            </w:r>
          </w:p>
        </w:tc>
        <w:tc>
          <w:tcPr/>
          <w:p>
            <w:pPr>
              <w:pStyle w:val="Compact"/>
              <w:jc w:val="left"/>
            </w:pPr>
            <w:r>
              <w:t xml:space="preserve">0.10</w:t>
            </w:r>
          </w:p>
        </w:tc>
        <w:tc>
          <w:tcPr/>
          <w:p>
            <w:pPr>
              <w:pStyle w:val="Compact"/>
              <w:jc w:val="left"/>
            </w:pPr>
            <w:r>
              <w:t xml:space="preserve">Based on EU heavy-duty truck data (representative average for Europe)</w:t>
            </w:r>
          </w:p>
        </w:tc>
      </w:tr>
    </w:tbl>
    <w:bookmarkEnd w:id="35"/>
    <w:bookmarkStart w:id="36" w:name="logistics-data-integration"/>
    <w:p>
      <w:pPr>
        <w:pStyle w:val="Heading3"/>
      </w:pPr>
      <w:r>
        <w:t xml:space="preserve">3.3 Logistics Data Integration</w:t>
      </w:r>
    </w:p>
    <w:p>
      <w:pPr>
        <w:numPr>
          <w:ilvl w:val="0"/>
          <w:numId w:val="1011"/>
        </w:numPr>
        <w:pStyle w:val="Compact"/>
      </w:pPr>
      <w:r>
        <w:rPr>
          <w:bCs/>
          <w:b/>
        </w:rPr>
        <w:t xml:space="preserve">Transport Mode:</w:t>
      </w:r>
      <w:r>
        <w:t xml:space="preserve"> </w:t>
      </w:r>
      <w:r>
        <w:t xml:space="preserve">Road</w:t>
      </w:r>
    </w:p>
    <w:p>
      <w:pPr>
        <w:numPr>
          <w:ilvl w:val="0"/>
          <w:numId w:val="1011"/>
        </w:numPr>
        <w:pStyle w:val="Compact"/>
      </w:pPr>
      <w:r>
        <w:rPr>
          <w:bCs/>
          <w:b/>
        </w:rPr>
        <w:t xml:space="preserve">Transport Distance:</w:t>
      </w:r>
      <w:r>
        <w:t xml:space="preserve"> </w:t>
      </w:r>
      <w:r>
        <w:t xml:space="preserve">500 km</w:t>
      </w:r>
    </w:p>
    <w:p>
      <w:pPr>
        <w:numPr>
          <w:ilvl w:val="0"/>
          <w:numId w:val="1011"/>
        </w:numPr>
        <w:pStyle w:val="Compact"/>
      </w:pPr>
      <w:r>
        <w:rPr>
          <w:bCs/>
          <w:b/>
        </w:rPr>
        <w:t xml:space="preserve">Load Assumption:</w:t>
      </w:r>
      <w:r>
        <w:t xml:space="preserve"> </w:t>
      </w:r>
      <w:r>
        <w:t xml:space="preserve">For inbound raw materials, a single transport event is considered for a nominal mass. Given the functional unit of 1.0 kg of Methanpol, we consider the transport of 1.0 kg of "other" raw material (besides natural gas, which is often piped) over 500 km to the factory.</w:t>
      </w:r>
    </w:p>
    <w:p>
      <w:r>
        <w:pict>
          <v:rect style="width:0;height:1.5pt" o:hralign="center" o:hrstd="t" o:hr="t"/>
        </w:pict>
      </w:r>
    </w:p>
    <w:bookmarkEnd w:id="36"/>
    <w:bookmarkEnd w:id="37"/>
    <w:bookmarkStart w:id="42" w:name="Xb404f6bea4a0013006ec7a9103609d9ea6643c1"/>
    <w:p>
      <w:pPr>
        <w:pStyle w:val="Heading2"/>
      </w:pPr>
      <w:r>
        <w:t xml:space="preserve">4. Calculate Emissions (Activity * Emission Factor = CO2e)</w:t>
      </w:r>
    </w:p>
    <w:p>
      <w:pPr>
        <w:pStyle w:val="FirstParagraph"/>
      </w:pPr>
      <w:r>
        <w:t xml:space="preserve">The total Product Carbon Footprint for 1.0 kg of Methanpol is calculated by multiplying the activity data from Section 3.1 by the corresponding emission factors from Section 3.2. Emissions are broken down by lifecycle stage to identify hotspots.</w:t>
      </w:r>
    </w:p>
    <w:bookmarkStart w:id="38" w:name="X16cf224e8de7342ac835918ad131d76236f08f7"/>
    <w:p>
      <w:pPr>
        <w:pStyle w:val="Heading3"/>
      </w:pPr>
      <w:r>
        <w:t xml:space="preserve">4.1 Raw Material Acquisition &amp; Processing Emissions</w:t>
      </w:r>
    </w:p>
    <w:p>
      <w:pPr>
        <w:pStyle w:val="FirstParagraph"/>
      </w:pPr>
      <w:r>
        <w:t xml:space="preserve">Assuming the majority of raw material impact comes from natural gas (feedstock + process energy integrated into one value).</w:t>
      </w:r>
    </w:p>
    <w:p>
      <w:pPr>
        <w:numPr>
          <w:ilvl w:val="0"/>
          <w:numId w:val="1012"/>
        </w:numPr>
        <w:pStyle w:val="Compact"/>
      </w:pPr>
      <w:r>
        <w:t xml:space="preserve">Natural Gas (Feedstock &amp; Process Energy): 1.0 Nm³ * 2.44 kg CO2e/Nm³ = 2.44 kg CO2e</w:t>
      </w:r>
    </w:p>
    <w:bookmarkEnd w:id="38"/>
    <w:bookmarkStart w:id="39" w:name="Xa75ecd479a868dc2743bc74eed25fb30d229ec4"/>
    <w:p>
      <w:pPr>
        <w:pStyle w:val="Heading3"/>
      </w:pPr>
      <w:r>
        <w:t xml:space="preserve">4.2 Manufacturing Emissions (Direct Energy Use at Factory)</w:t>
      </w:r>
    </w:p>
    <w:p>
      <w:pPr>
        <w:numPr>
          <w:ilvl w:val="0"/>
          <w:numId w:val="1013"/>
        </w:numPr>
        <w:pStyle w:val="Compact"/>
      </w:pPr>
      <w:r>
        <w:t xml:space="preserve">Electricity: 0.5 kWh * 0.328 kg CO2e/kWh = 0.164 kg CO2e</w:t>
      </w:r>
    </w:p>
    <w:bookmarkEnd w:id="39"/>
    <w:bookmarkStart w:id="40" w:name="inbound-transportation-emissions"/>
    <w:p>
      <w:pPr>
        <w:pStyle w:val="Heading3"/>
      </w:pPr>
      <w:r>
        <w:t xml:space="preserve">4.3 Inbound Transportation Emissions</w:t>
      </w:r>
    </w:p>
    <w:p>
      <w:pPr>
        <w:pStyle w:val="FirstParagraph"/>
      </w:pPr>
      <w:r>
        <w:t xml:space="preserve">Calculated for 1.0 kg of raw material transported over 500 km by road.</w:t>
      </w:r>
    </w:p>
    <w:p>
      <w:pPr>
        <w:numPr>
          <w:ilvl w:val="0"/>
          <w:numId w:val="1014"/>
        </w:numPr>
        <w:pStyle w:val="Compact"/>
      </w:pPr>
      <w:r>
        <w:t xml:space="preserve">Road Transport: (1.0 kg / 1000 kg/tonne) * 500 km * 0.10 kg CO2e/tonne-km = 0.050 kg CO2e</w:t>
      </w:r>
    </w:p>
    <w:bookmarkEnd w:id="40"/>
    <w:bookmarkStart w:id="41" w:name="Xbb144fd9631e60003922b09d3cc80dc1b7fe2d2"/>
    <w:p>
      <w:pPr>
        <w:pStyle w:val="Heading3"/>
      </w:pPr>
      <w:r>
        <w:t xml:space="preserve">4.4 Total Product Carbon Footprint for 1.0 kg of Methanpol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Calculated Emissions (kg CO2e)</w:t>
            </w:r>
          </w:p>
        </w:tc>
        <w:tc>
          <w:tcPr/>
          <w:p>
            <w:pPr>
              <w:pStyle w:val="Compact"/>
              <w:jc w:val="left"/>
            </w:pPr>
            <w:r>
              <w:t xml:space="preserve">Share (%)</w:t>
            </w:r>
          </w:p>
        </w:tc>
      </w:tr>
      <w:tr>
        <w:tc>
          <w:tcPr/>
          <w:p>
            <w:pPr>
              <w:pStyle w:val="Compact"/>
              <w:jc w:val="left"/>
            </w:pPr>
            <w:r>
              <w:t xml:space="preserve">Raw Material Acquisition &amp; Processing (Natural Gas)</w:t>
            </w:r>
          </w:p>
        </w:tc>
        <w:tc>
          <w:tcPr/>
          <w:p>
            <w:pPr>
              <w:pStyle w:val="Compact"/>
              <w:jc w:val="left"/>
            </w:pPr>
            <w:r>
              <w:t xml:space="preserve">2.440</w:t>
            </w:r>
          </w:p>
        </w:tc>
        <w:tc>
          <w:tcPr/>
          <w:p>
            <w:pPr>
              <w:pStyle w:val="Compact"/>
              <w:jc w:val="left"/>
            </w:pPr>
            <w:r>
              <w:t xml:space="preserve">91.9%</w:t>
            </w:r>
          </w:p>
        </w:tc>
      </w:tr>
      <w:tr>
        <w:tc>
          <w:tcPr/>
          <w:p>
            <w:pPr>
              <w:pStyle w:val="Compact"/>
              <w:jc w:val="left"/>
            </w:pPr>
            <w:r>
              <w:t xml:space="preserve">Manufacturing (Electricity)</w:t>
            </w:r>
          </w:p>
        </w:tc>
        <w:tc>
          <w:tcPr/>
          <w:p>
            <w:pPr>
              <w:pStyle w:val="Compact"/>
              <w:jc w:val="left"/>
            </w:pPr>
            <w:r>
              <w:t xml:space="preserve">0.164</w:t>
            </w:r>
          </w:p>
        </w:tc>
        <w:tc>
          <w:tcPr/>
          <w:p>
            <w:pPr>
              <w:pStyle w:val="Compact"/>
              <w:jc w:val="left"/>
            </w:pPr>
            <w:r>
              <w:t xml:space="preserve">6.2%</w:t>
            </w:r>
          </w:p>
        </w:tc>
      </w:tr>
      <w:tr>
        <w:tc>
          <w:tcPr/>
          <w:p>
            <w:pPr>
              <w:pStyle w:val="Compact"/>
              <w:jc w:val="left"/>
            </w:pPr>
            <w:r>
              <w:t xml:space="preserve">Inbound Transportation (Road)</w:t>
            </w:r>
          </w:p>
        </w:tc>
        <w:tc>
          <w:tcPr/>
          <w:p>
            <w:pPr>
              <w:pStyle w:val="Compact"/>
              <w:jc w:val="left"/>
            </w:pPr>
            <w:r>
              <w:t xml:space="preserve">0.050</w:t>
            </w:r>
          </w:p>
        </w:tc>
        <w:tc>
          <w:tcPr/>
          <w:p>
            <w:pPr>
              <w:pStyle w:val="Compact"/>
              <w:jc w:val="left"/>
            </w:pPr>
            <w:r>
              <w:t xml:space="preserve">1.9%</w:t>
            </w:r>
          </w:p>
        </w:tc>
      </w:tr>
      <w:tr>
        <w:tc>
          <w:tcPr/>
          <w:p>
            <w:pPr>
              <w:pStyle w:val="Compact"/>
              <w:jc w:val="left"/>
            </w:pPr>
            <w:r>
              <w:rPr>
                <w:bCs/>
                <w:b/>
              </w:rPr>
              <w:t xml:space="preserve">TOTAL PCF (per 1.0 kg Methanpol)</w:t>
            </w:r>
          </w:p>
        </w:tc>
        <w:tc>
          <w:tcPr/>
          <w:p>
            <w:pPr>
              <w:pStyle w:val="Compact"/>
              <w:jc w:val="left"/>
            </w:pPr>
            <w:r>
              <w:rPr>
                <w:bCs/>
                <w:b/>
              </w:rPr>
              <w:t xml:space="preserve">2.654</w:t>
            </w:r>
          </w:p>
        </w:tc>
        <w:tc>
          <w:tcPr/>
          <w:p>
            <w:pPr>
              <w:pStyle w:val="Compact"/>
              <w:jc w:val="left"/>
            </w:pPr>
            <w:r>
              <w:rPr>
                <w:bCs/>
                <w:b/>
              </w:rPr>
              <w:t xml:space="preserve">100.0%</w:t>
            </w:r>
          </w:p>
        </w:tc>
      </w:tr>
    </w:tbl>
    <w:p>
      <w:r>
        <w:pict>
          <v:rect style="width:0;height:1.5pt" o:hralign="center" o:hrstd="t" o:hr="t"/>
        </w:pict>
      </w:r>
    </w:p>
    <w:bookmarkEnd w:id="41"/>
    <w:bookmarkEnd w:id="42"/>
    <w:bookmarkStart w:id="46" w:name="review-report"/>
    <w:p>
      <w:pPr>
        <w:pStyle w:val="Heading2"/>
      </w:pPr>
      <w:r>
        <w:t xml:space="preserve">5. Review &amp; Report</w:t>
      </w:r>
    </w:p>
    <w:bookmarkStart w:id="43" w:name="hotspots-identification"/>
    <w:p>
      <w:pPr>
        <w:pStyle w:val="Heading3"/>
      </w:pPr>
      <w:r>
        <w:t xml:space="preserve">5.1 Hotspots Identification</w:t>
      </w:r>
    </w:p>
    <w:p>
      <w:pPr>
        <w:pStyle w:val="FirstParagraph"/>
      </w:pPr>
      <w:r>
        <w:t xml:space="preserve">The analysis clearly identifies the "Raw Material Acquisition &amp; Processing" stage, predominantly driven by natural gas as both feedstock and process energy, as the most significant hotspot, accounting for approximately 91.9% of the total Product Carbon Footprint. Manufacturing electricity consumption is a secondary contributor, followed by inbound transportation. This indicates that efforts to reduce the carbon footprint of Methanpol should primarily focus on:</w:t>
      </w:r>
    </w:p>
    <w:p>
      <w:pPr>
        <w:numPr>
          <w:ilvl w:val="0"/>
          <w:numId w:val="1015"/>
        </w:numPr>
        <w:pStyle w:val="Compact"/>
      </w:pPr>
      <w:r>
        <w:t xml:space="preserve">Sourcing lower-carbon natural gas (e.g., biomethane, or natural gas with Carbon Capture and Storage - CCUS).</w:t>
      </w:r>
    </w:p>
    <w:p>
      <w:pPr>
        <w:numPr>
          <w:ilvl w:val="0"/>
          <w:numId w:val="1015"/>
        </w:numPr>
        <w:pStyle w:val="Compact"/>
      </w:pPr>
      <w:r>
        <w:t xml:space="preserve">Optimizing the energy efficiency of the syngas production and polymerization processes.</w:t>
      </w:r>
    </w:p>
    <w:p>
      <w:pPr>
        <w:numPr>
          <w:ilvl w:val="0"/>
          <w:numId w:val="1015"/>
        </w:numPr>
        <w:pStyle w:val="Compact"/>
      </w:pPr>
      <w:r>
        <w:t xml:space="preserve">Exploring alternative, less carbon-intensive feedstocks or production pathways.</w:t>
      </w:r>
    </w:p>
    <w:bookmarkEnd w:id="43"/>
    <w:bookmarkStart w:id="44" w:name="reliability-limitations"/>
    <w:p>
      <w:pPr>
        <w:pStyle w:val="Heading3"/>
      </w:pPr>
      <w:r>
        <w:t xml:space="preserve">5.2 Reliability &amp; Limitations</w:t>
      </w:r>
    </w:p>
    <w:p>
      <w:pPr>
        <w:pStyle w:val="FirstParagraph"/>
      </w:pPr>
      <w:r>
        <w:t xml:space="preserve">The reliability of this PCF is considered high, given the use of industry-standard emission factors from reputable sources (e.g., Climatiq, Nowtricity, Zuno Carbon, EU data for transport). However, certain limitations apply:</w:t>
      </w:r>
    </w:p>
    <w:p>
      <w:pPr>
        <w:numPr>
          <w:ilvl w:val="0"/>
          <w:numId w:val="1016"/>
        </w:numPr>
        <w:pStyle w:val="Compact"/>
      </w:pPr>
      <w:r>
        <w:rPr>
          <w:bCs/>
          <w:b/>
        </w:rPr>
        <w:t xml:space="preserve">Assumed Data:</w:t>
      </w:r>
      <w:r>
        <w:t xml:space="preserve"> </w:t>
      </w:r>
      <w:r>
        <w:t xml:space="preserve">Activity data (e.g., specific quantities of natural gas and electricity per kg of Methanpol) are based on typical industry averages for methanol production and general polymer manufacturing, not actual primary data from a specific Methanpol facility. For an audit-ready report, these would need to be replaced with facility-specific measurements.</w:t>
      </w:r>
    </w:p>
    <w:p>
      <w:pPr>
        <w:numPr>
          <w:ilvl w:val="0"/>
          <w:numId w:val="1016"/>
        </w:numPr>
        <w:pStyle w:val="Compact"/>
      </w:pPr>
      <w:r>
        <w:rPr>
          <w:bCs/>
          <w:b/>
        </w:rPr>
        <w:t xml:space="preserve">Generic Product:</w:t>
      </w:r>
      <w:r>
        <w:t xml:space="preserve"> </w:t>
      </w:r>
      <w:r>
        <w:t xml:space="preserve">"Methanpol" is a generic product name, and the underlying chemical pathway (natural gas to polymer via methanol synthesis) is an assumption based on common industrial practices.</w:t>
      </w:r>
    </w:p>
    <w:p>
      <w:pPr>
        <w:numPr>
          <w:ilvl w:val="0"/>
          <w:numId w:val="1016"/>
        </w:numPr>
        <w:pStyle w:val="Compact"/>
      </w:pPr>
      <w:r>
        <w:rPr>
          <w:bCs/>
          <w:b/>
        </w:rPr>
        <w:t xml:space="preserve">System Boundary:</w:t>
      </w:r>
      <w:r>
        <w:t xml:space="preserve"> </w:t>
      </w:r>
      <w:r>
        <w:t xml:space="preserve">The \'factory-gate\' boundary excludes downstream emissions (distribution, use, end-of-life), which could be significant depending on the product\'s application.</w:t>
      </w:r>
    </w:p>
    <w:p>
      <w:pPr>
        <w:numPr>
          <w:ilvl w:val="0"/>
          <w:numId w:val="1016"/>
        </w:numPr>
        <w:pStyle w:val="Compact"/>
      </w:pPr>
      <w:r>
        <w:rPr>
          <w:bCs/>
          <w:b/>
        </w:rPr>
        <w:t xml:space="preserve">Emission Factor Specificity:</w:t>
      </w:r>
      <w:r>
        <w:t xml:space="preserve"> </w:t>
      </w:r>
      <w:r>
        <w:t xml:space="preserve">While European-focused, some emission factors may be generalized for the region rather than highly localized to Germany for every input.</w:t>
      </w:r>
    </w:p>
    <w:bookmarkEnd w:id="44"/>
    <w:bookmarkStart w:id="45" w:name="X3cd10d0761fa09601cc5e9c7446bc0d862eee83"/>
    <w:p>
      <w:pPr>
        <w:pStyle w:val="Heading3"/>
      </w:pPr>
      <w:r>
        <w:t xml:space="preserve">5.3 Recommendations for Reduction &amp; Verification</w:t>
      </w:r>
    </w:p>
    <w:p>
      <w:pPr>
        <w:numPr>
          <w:ilvl w:val="0"/>
          <w:numId w:val="1017"/>
        </w:numPr>
        <w:pStyle w:val="Compact"/>
      </w:pPr>
      <w:r>
        <w:rPr>
          <w:bCs/>
          <w:b/>
        </w:rPr>
        <w:t xml:space="preserve">Feedstock Decarbonization:</w:t>
      </w:r>
      <w:r>
        <w:t xml:space="preserve"> </w:t>
      </w:r>
      <w:r>
        <w:t xml:space="preserve">Investigate opportunities for green or blue methanol/natural gas derivatives in the supply chain to significantly reduce upstream emissions.</w:t>
      </w:r>
    </w:p>
    <w:p>
      <w:pPr>
        <w:numPr>
          <w:ilvl w:val="0"/>
          <w:numId w:val="1017"/>
        </w:numPr>
        <w:pStyle w:val="Compact"/>
      </w:pPr>
      <w:r>
        <w:rPr>
          <w:bCs/>
          <w:b/>
        </w:rPr>
        <w:t xml:space="preserve">Energy Efficiency:</w:t>
      </w:r>
      <w:r>
        <w:t xml:space="preserve"> </w:t>
      </w:r>
      <w:r>
        <w:t xml:space="preserve">Implement energy efficiency measures within the manufacturing plant to reduce electricity and natural gas consumption.</w:t>
      </w:r>
    </w:p>
    <w:p>
      <w:pPr>
        <w:numPr>
          <w:ilvl w:val="0"/>
          <w:numId w:val="1017"/>
        </w:numPr>
        <w:pStyle w:val="Compact"/>
      </w:pPr>
      <w:r>
        <w:rPr>
          <w:bCs/>
          <w:b/>
        </w:rPr>
        <w:t xml:space="preserve">Renewable Energy Procurement:</w:t>
      </w:r>
      <w:r>
        <w:t xml:space="preserve"> </w:t>
      </w:r>
      <w:r>
        <w:t xml:space="preserve">Transition to renewable electricity sources (e.g., power purchase agreements, on-site renewables) for the German manufacturing facility.</w:t>
      </w:r>
    </w:p>
    <w:p>
      <w:pPr>
        <w:numPr>
          <w:ilvl w:val="0"/>
          <w:numId w:val="1017"/>
        </w:numPr>
        <w:pStyle w:val="Compact"/>
      </w:pPr>
      <w:r>
        <w:rPr>
          <w:bCs/>
          <w:b/>
        </w:rPr>
        <w:t xml:space="preserve">Supplier Engagement:</w:t>
      </w:r>
      <w:r>
        <w:t xml:space="preserve"> </w:t>
      </w:r>
      <w:r>
        <w:t xml:space="preserve">Collaborate with upstream natural gas and chemical suppliers to understand and reduce their own carbon footprints.</w:t>
      </w:r>
    </w:p>
    <w:p>
      <w:pPr>
        <w:numPr>
          <w:ilvl w:val="0"/>
          <w:numId w:val="1017"/>
        </w:numPr>
        <w:pStyle w:val="Compact"/>
      </w:pPr>
      <w:r>
        <w:rPr>
          <w:bCs/>
          <w:b/>
        </w:rPr>
        <w:t xml:space="preserve">Third-Party Verification:</w:t>
      </w:r>
      <w:r>
        <w:t xml:space="preserve"> </w:t>
      </w:r>
      <w:r>
        <w:t xml:space="preserve">To enhance credibility and meet audit-readiness requirements fully, this report should undergo independent third-party verification in accordance with ISO 14064-3. This would validate the GHG assertion and confirm adherence to the quantification and reporting principles.</w:t>
      </w:r>
    </w:p>
    <w:p>
      <w:r>
        <w:pict>
          <v:rect style="width:0;height:1.5pt" o:hralign="center" o:hrstd="t" o:hr="t"/>
        </w:pic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Methanpol</dc:title>
  <dc:creator/>
  <dc:description>High-detail Product Carbon Footprint (PCF) analysis for Methanpol, adhering to ISO 14064 principles for robust quantification and reporting.</dc:description>
  <dc:language>en</dc:language>
  <cp:keywords/>
  <dcterms:created xsi:type="dcterms:W3CDTF">2026-11-01T19:49:10Z</dcterms:created>
  <dcterms:modified xsi:type="dcterms:W3CDTF">2026-11-01T19:49:10Z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