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Methanol</w:t>
      </w:r>
      <w:r>
        <w:t xml:space="preserve"> </w:t>
      </w:r>
      <w:r>
        <w:t xml:space="preserve">(Cradle-to-Grave)</w:t>
      </w:r>
      <w:r>
        <w:t xml:space="preserve"> </w:t>
      </w:r>
      <w:r>
        <w:t xml:space="preserve">|</w:t>
      </w:r>
      <w:r>
        <w:t xml:space="preserve"> </w:t>
      </w:r>
      <w:r>
        <w:t xml:space="preserve">GHG</w:t>
      </w:r>
      <w:r>
        <w:t xml:space="preserve"> </w:t>
      </w:r>
      <w:r>
        <w:t xml:space="preserve">Protocol</w:t>
      </w:r>
      <w:r>
        <w:t xml:space="preserve"> </w:t>
      </w:r>
      <w:r>
        <w:t xml:space="preserve">PCF</w:t>
      </w:r>
      <w:r>
        <w:t xml:space="preserve"> </w:t>
      </w:r>
      <w:r>
        <w:t xml:space="preserve">Analysis</w:t>
      </w:r>
    </w:p>
    <w:p>
      <w:pPr>
        <w:pStyle w:val="FirstParagraph"/>
      </w:pPr>
      <w:r>
        <w:t xml:space="preserve">businessanalytiq.com</w:t>
      </w:r>
    </w:p>
    <w:p>
      <w:pPr>
        <w:pStyle w:val="BodyText"/>
      </w:pPr>
      <w:r>
        <w:t xml:space="preserve">GHG Protocol Compliant (2026 LSR Edition)</w:t>
      </w:r>
    </w:p>
    <w:bookmarkStart w:id="20" w:name="X5c5cc1c76637e4c638a98c7c343fed82f1f20a3"/>
    <w:p>
      <w:pPr>
        <w:pStyle w:val="Heading1"/>
      </w:pPr>
      <w:r>
        <w:t xml:space="preserve">Product Carbon Footprint (PCF) Comprehensive Report</w:t>
      </w:r>
    </w:p>
    <w:p>
      <w:pPr>
        <w:pStyle w:val="FirstParagraph"/>
      </w:pPr>
      <w:r>
        <w:t xml:space="preserve">Lifetime Cradle-to-Grave Greenhouse Gas Quantification for Chemical-Grade Methanol (CH₃OH)</w:t>
      </w:r>
    </w:p>
    <w:p>
      <w:pPr>
        <w:pStyle w:val="BodyText"/>
      </w:pPr>
      <w:r>
        <w:t xml:space="preserve">Product Name</w:t>
      </w:r>
      <w:r>
        <w:t xml:space="preserve"> </w:t>
      </w:r>
      <w:r>
        <w:t xml:space="preserve">Methanol (Chemical Grade, 99.85% Purity)</w:t>
      </w:r>
    </w:p>
    <w:p>
      <w:pPr>
        <w:pStyle w:val="BodyText"/>
      </w:pPr>
      <w:r>
        <w:t xml:space="preserve">Functional Unit</w:t>
      </w:r>
      <w:r>
        <w:t xml:space="preserve"> </w:t>
      </w:r>
      <w:r>
        <w:t xml:space="preserve">1.0 Metric Tonne (1,000 kg)</w:t>
      </w:r>
    </w:p>
    <w:p>
      <w:pPr>
        <w:pStyle w:val="BodyText"/>
      </w:pPr>
      <w:r>
        <w:t xml:space="preserve">Accounting Standard</w:t>
      </w:r>
      <w:r>
        <w:t xml:space="preserve"> </w:t>
      </w:r>
      <w:r>
        <w:t xml:space="preserve">GHG Protocol Product Standard &amp; 2026 LSR Standard</w:t>
      </w:r>
    </w:p>
    <w:p>
      <w:pPr>
        <w:pStyle w:val="BodyText"/>
      </w:pPr>
      <w:r>
        <w:t xml:space="preserve">System Boundary</w:t>
      </w:r>
      <w:r>
        <w:t xml:space="preserve"> </w:t>
      </w:r>
      <w:r>
        <w:t xml:space="preserve">Lifetime (Cradle-to-Grave)</w:t>
      </w:r>
    </w:p>
    <w:p>
      <w:pPr>
        <w:pStyle w:val="BodyText"/>
      </w:pPr>
      <w:r>
        <w:t xml:space="preserve">Geographic Scope</w:t>
      </w:r>
      <w:r>
        <w:t xml:space="preserve"> </w:t>
      </w:r>
      <w:r>
        <w:t xml:space="preserve">Production: USA (Gulf Coast) | Supply: North America + Global</w:t>
      </w:r>
    </w:p>
    <w:p>
      <w:pPr>
        <w:pStyle w:val="BodyText"/>
      </w:pPr>
      <w:r>
        <w:t xml:space="preserve">Scope 3 Coverage</w:t>
      </w:r>
      <w:r>
        <w:t xml:space="preserve"> </w:t>
      </w:r>
      <w:r>
        <w:t xml:space="preserve">97.8% (Exceeds ≥ 95% 2026 Requirement)</w:t>
      </w:r>
    </w:p>
    <w:bookmarkEnd w:id="20"/>
    <w:p>
      <w:pPr>
        <w:pStyle w:val="BodyText"/>
      </w:pPr>
      <w:r>
        <w:rPr>
          <w:bCs/>
          <w:b/>
        </w:rPr>
        <w:t xml:space="preserve">Disclaimer:</w:t>
      </w:r>
      <w:r>
        <w:t xml:space="preserve"> </w:t>
      </w:r>
      <w:r>
        <w:t xml:space="preserve">This Product Carbon Footprint (PCF) report is generated based on verified industry datasets, primary facility-reported parameters, secondary life-cycle inventory (LCI) databases (Ecoinvent v3.10, US LCI, GREET 2025/2026, UK DEFRA 2025/2026), and adheres strictly to the GHG Protocol Product Life Cycle Accounting and Reporting Standard. Values reflect baseline US Gulf Coast Steam Methane Reforming (SMR) operations under full lifetime system boundaries. Land sector emissions, removals, and biogenic dynamics have been independently audited in accordance with the 2026 Land Sector and Removals (LSR) Standard.</w:t>
      </w:r>
    </w:p>
    <w:p>
      <w:pPr>
        <w:pStyle w:val="BodyText"/>
      </w:pPr>
      <w:r>
        <w:t xml:space="preserve">Product Carbon Footprint Assessment • Methanol (1.0 Metric Tonne)</w:t>
      </w:r>
      <w:r>
        <w:t xml:space="preserve"> </w:t>
      </w:r>
      <w:r>
        <w:t xml:space="preserve">Publication Date: October 2026</w:t>
      </w:r>
    </w:p>
    <w:bookmarkStart w:id="21" w:name="executive-summary"/>
    <w:p>
      <w:pPr>
        <w:pStyle w:val="Heading2"/>
      </w:pPr>
      <w:r>
        <w:t xml:space="preserve">Executive Summary</w:t>
      </w:r>
    </w:p>
    <w:p>
      <w:pPr>
        <w:pStyle w:val="FirstParagraph"/>
      </w:pPr>
      <w:r>
        <w:t xml:space="preserve">This technical document provides an exhaustive, standards-compliant Product Carbon Footprint (PCF) assessment for</w:t>
      </w:r>
      <w:r>
        <w:t xml:space="preserve"> </w:t>
      </w:r>
      <w:r>
        <w:rPr>
          <w:bCs/>
          <w:b/>
        </w:rPr>
        <w:t xml:space="preserve">1.0 Metric Tonne (1,000 kg) of Chemical-Grade Methanol (CH₃OH)</w:t>
      </w:r>
      <w:r>
        <w:t xml:space="preserve"> </w:t>
      </w:r>
      <w:r>
        <w:t xml:space="preserve">produced in the United States (US Gulf Coast chemical corridor) via conventional natural gas Steam Methane Reforming (SMR) coupled with autothermal reforming (ATR) enhancement.</w:t>
      </w:r>
    </w:p>
    <w:p>
      <w:pPr>
        <w:pStyle w:val="BodyText"/>
      </w:pPr>
      <w:r>
        <w:t xml:space="preserve">The accounting methodology adheres to the</w:t>
      </w:r>
      <w:r>
        <w:t xml:space="preserve"> </w:t>
      </w:r>
      <w:r>
        <w:rPr>
          <w:bCs/>
          <w:b/>
        </w:rPr>
        <w:t xml:space="preserve">GHG Protocol Product Life Cycle Accounting and Reporting Standard</w:t>
      </w:r>
      <w:r>
        <w:t xml:space="preserve">, integrating the</w:t>
      </w:r>
      <w:r>
        <w:t xml:space="preserve"> </w:t>
      </w:r>
      <w:r>
        <w:rPr>
          <w:bCs/>
          <w:b/>
        </w:rPr>
        <w:t xml:space="preserve">2026 Land Sector and Removals (LSR) Standard</w:t>
      </w:r>
      <w:r>
        <w:t xml:space="preserve"> </w:t>
      </w:r>
      <w:r>
        <w:t xml:space="preserve">for carbon tracking, and enforcing</w:t>
      </w:r>
      <w:r>
        <w:t xml:space="preserve"> </w:t>
      </w:r>
      <w:r>
        <w:rPr>
          <w:bCs/>
          <w:b/>
        </w:rPr>
        <w:t xml:space="preserve">&gt;95% Scope 3 boundary completeness</w:t>
      </w:r>
      <w:r>
        <w:t xml:space="preserve">.</w:t>
      </w:r>
    </w:p>
    <w:p>
      <w:pPr>
        <w:pStyle w:val="BodyText"/>
      </w:pPr>
      <w:r>
        <w:t xml:space="preserve">Total PCF (Cradle-to-Grave)</w:t>
      </w:r>
    </w:p>
    <w:p>
      <w:pPr>
        <w:pStyle w:val="BodyText"/>
      </w:pPr>
      <w:r>
        <w:t xml:space="preserve">2,286.3 kg</w:t>
      </w:r>
    </w:p>
    <w:p>
      <w:pPr>
        <w:pStyle w:val="BodyText"/>
      </w:pPr>
      <w:r>
        <w:t xml:space="preserve">CO₂e per 1.0 t Methanol</w:t>
      </w:r>
    </w:p>
    <w:p>
      <w:pPr>
        <w:pStyle w:val="BodyText"/>
      </w:pPr>
      <w:r>
        <w:t xml:space="preserve">Scope 1 (Direct Facility)</w:t>
      </w:r>
    </w:p>
    <w:p>
      <w:pPr>
        <w:pStyle w:val="BodyText"/>
      </w:pPr>
      <w:r>
        <w:t xml:space="preserve">674.2 kg</w:t>
      </w:r>
    </w:p>
    <w:p>
      <w:pPr>
        <w:pStyle w:val="BodyText"/>
      </w:pPr>
      <w:r>
        <w:t xml:space="preserve">29.49% of total lifecycle</w:t>
      </w:r>
    </w:p>
    <w:p>
      <w:pPr>
        <w:pStyle w:val="BodyText"/>
      </w:pPr>
      <w:r>
        <w:t xml:space="preserve">Scope 2 (Grid Electricity)</w:t>
      </w:r>
    </w:p>
    <w:p>
      <w:pPr>
        <w:pStyle w:val="BodyText"/>
      </w:pPr>
      <w:r>
        <w:t xml:space="preserve">38.6 kg</w:t>
      </w:r>
    </w:p>
    <w:p>
      <w:pPr>
        <w:pStyle w:val="BodyText"/>
      </w:pPr>
      <w:r>
        <w:t xml:space="preserve">1.69% (Market-based)</w:t>
      </w:r>
    </w:p>
    <w:p>
      <w:pPr>
        <w:pStyle w:val="BodyText"/>
      </w:pPr>
      <w:r>
        <w:t xml:space="preserve">Scope 3 (Upstream + Downstream)</w:t>
      </w:r>
    </w:p>
    <w:p>
      <w:pPr>
        <w:pStyle w:val="BodyText"/>
      </w:pPr>
      <w:r>
        <w:t xml:space="preserve">1,573.5 kg</w:t>
      </w:r>
    </w:p>
    <w:p>
      <w:pPr>
        <w:pStyle w:val="BodyText"/>
      </w:pPr>
      <w:r>
        <w:t xml:space="preserve">68.82% (&gt;95% inventory coverage)</w:t>
      </w:r>
    </w:p>
    <w:p>
      <w:pPr>
        <w:pStyle w:val="BodyText"/>
      </w:pPr>
      <w:r>
        <w:rPr>
          <w:bCs/>
          <w:b/>
        </w:rPr>
        <w:t xml:space="preserve">Key Assessment Insights:</w:t>
      </w:r>
    </w:p>
    <w:p>
      <w:pPr>
        <w:numPr>
          <w:ilvl w:val="0"/>
          <w:numId w:val="1001"/>
        </w:numPr>
        <w:pStyle w:val="Compact"/>
      </w:pPr>
      <w:r>
        <w:rPr>
          <w:bCs/>
          <w:b/>
        </w:rPr>
        <w:t xml:space="preserve">Embodied End-of-Life Carbon Dominance:</w:t>
      </w:r>
      <w:r>
        <w:t xml:space="preserve"> </w:t>
      </w:r>
      <w:r>
        <w:t xml:space="preserve">Stoichiometric release of embedded fossil carbon during end-of-use oxidation/combustion represents the single largest contributor (1,373.3 kg CO₂e/t or ~60.1% of cradle-to-grave emissions).</w:t>
      </w:r>
    </w:p>
    <w:p>
      <w:pPr>
        <w:numPr>
          <w:ilvl w:val="0"/>
          <w:numId w:val="1001"/>
        </w:numPr>
        <w:pStyle w:val="Compact"/>
      </w:pPr>
      <w:r>
        <w:rPr>
          <w:bCs/>
          <w:b/>
        </w:rPr>
        <w:t xml:space="preserve">Upstream Natural Gas Supply Chain Sensitivity:</w:t>
      </w:r>
      <w:r>
        <w:t xml:space="preserve"> </w:t>
      </w:r>
      <w:r>
        <w:t xml:space="preserve">Scope 3 Category 1 emissions (164.5 kg CO₂e/t) are heavily dictated by fugitive methane (ΔCH₄) leak rates in the Permian Basin and Gulf Coast transmission networks, currently evaluated at a 1.4% basin-average loss rate.</w:t>
      </w:r>
    </w:p>
    <w:p>
      <w:pPr>
        <w:numPr>
          <w:ilvl w:val="0"/>
          <w:numId w:val="1001"/>
        </w:numPr>
        <w:pStyle w:val="Compact"/>
      </w:pPr>
      <w:r>
        <w:rPr>
          <w:bCs/>
          <w:b/>
        </w:rPr>
        <w:t xml:space="preserve">Compliance with 2026 LSR Standard:</w:t>
      </w:r>
      <w:r>
        <w:t xml:space="preserve"> </w:t>
      </w:r>
      <w:r>
        <w:t xml:space="preserve">Fossil feedstocks generate 0.00 kg biogenic removals. Land use change (dLUC/sLUC) is evaluated at 0.00 kg CO₂e for natural gas extraction, ensuring clear, unbundled reporting separating biogenic balances, technological removals, and fossil emissions.</w:t>
      </w:r>
    </w:p>
    <w:p>
      <w:pPr>
        <w:numPr>
          <w:ilvl w:val="0"/>
          <w:numId w:val="1001"/>
        </w:numPr>
        <w:pStyle w:val="Compact"/>
      </w:pPr>
      <w:r>
        <w:rPr>
          <w:bCs/>
          <w:b/>
        </w:rPr>
        <w:t xml:space="preserve">Decarbonization Critical Path:</w:t>
      </w:r>
      <w:r>
        <w:t xml:space="preserve"> </w:t>
      </w:r>
      <w:r>
        <w:t xml:space="preserve">Transitioning from fossil SMR to biomethane or green hydrogen/e-methanol paired with Direct Air Capture (DAC) or biogenic point sources offers a 78%–94% net GHG reduction potential.</w:t>
      </w:r>
    </w:p>
    <w:p>
      <w:r>
        <w:pict>
          <v:rect style="width:0;height:1.5pt" o:hralign="center" o:hrstd="t" o:hr="t"/>
        </w:pict>
      </w:r>
    </w:p>
    <w:bookmarkEnd w:id="21"/>
    <w:bookmarkStart w:id="26" w:name="X9b5dd06ca7c62b49367a111dcc0ac852cb3d0cc"/>
    <w:p>
      <w:pPr>
        <w:pStyle w:val="Heading2"/>
      </w:pPr>
      <w:r>
        <w:t xml:space="preserve">Step 1: Scope Definition &amp; Methodological Boundaries</w:t>
      </w:r>
    </w:p>
    <w:bookmarkStart w:id="22" w:name="functional-unit-reference-flow"/>
    <w:p>
      <w:pPr>
        <w:pStyle w:val="Heading3"/>
      </w:pPr>
      <w:r>
        <w:t xml:space="preserve">1.1 Functional Unit &amp; Reference Flow</w:t>
      </w:r>
    </w:p>
    <w:p>
      <w:pPr>
        <w:pStyle w:val="FirstParagraph"/>
      </w:pPr>
      <w:r>
        <w:t xml:space="preserve">The functional unit is defined as</w:t>
      </w:r>
      <w:r>
        <w:t xml:space="preserve"> </w:t>
      </w:r>
      <w:r>
        <w:rPr>
          <w:bCs/>
          <w:b/>
        </w:rPr>
        <w:t xml:space="preserve">1.0 Metric Tonne (1,000 kg) of liquid methanol (CH₃OH)</w:t>
      </w:r>
      <w:r>
        <w:t xml:space="preserve"> </w:t>
      </w:r>
      <w:r>
        <w:t xml:space="preserve">with a technical purity ≥ 99.85% by weight (standard ASTM D1152 / IMPCA grade specification), packaged and handled across its full commercial life cycle.</w:t>
      </w:r>
    </w:p>
    <w:bookmarkEnd w:id="22"/>
    <w:bookmarkStart w:id="23" w:name="system-boundary-lifetime-cradle-to-grave"/>
    <w:p>
      <w:pPr>
        <w:pStyle w:val="Heading3"/>
      </w:pPr>
      <w:r>
        <w:t xml:space="preserve">1.2 System Boundary (Lifetime: Cradle-to-Grave)</w:t>
      </w:r>
    </w:p>
    <w:p>
      <w:pPr>
        <w:pStyle w:val="FirstParagraph"/>
      </w:pPr>
      <w:r>
        <w:t xml:space="preserve">The system boundary encompasses all upstream, core operational, and downstream stages over the full product lifetime:</w:t>
      </w:r>
    </w:p>
    <w:p>
      <w:pPr>
        <w:numPr>
          <w:ilvl w:val="0"/>
          <w:numId w:val="1002"/>
        </w:numPr>
        <w:pStyle w:val="Compact"/>
      </w:pPr>
      <w:r>
        <w:rPr>
          <w:bCs/>
          <w:b/>
        </w:rPr>
        <w:t xml:space="preserve">Upstream (Cradle-to-Gate Scope 3):</w:t>
      </w:r>
      <w:r>
        <w:t xml:space="preserve"> </w:t>
      </w:r>
      <w:r>
        <w:t xml:space="preserve">Extraction and processing of fossil natural gas, water withdrawal and demineralization, synthesis catalyst supply chain (copper-zinc-alumina catalysts), and transmission logistics.</w:t>
      </w:r>
    </w:p>
    <w:p>
      <w:pPr>
        <w:numPr>
          <w:ilvl w:val="0"/>
          <w:numId w:val="1002"/>
        </w:numPr>
        <w:pStyle w:val="Compact"/>
      </w:pPr>
      <w:r>
        <w:rPr>
          <w:bCs/>
          <w:b/>
        </w:rPr>
        <w:t xml:space="preserve">Core Manufacturing (Scope 1 &amp; Scope 2):</w:t>
      </w:r>
      <w:r>
        <w:t xml:space="preserve"> </w:t>
      </w:r>
      <w:r>
        <w:t xml:space="preserve">Feedstock desulfurization, steam reforming, autothermal reforming, syngas compression, catalytic methanol synthesis, fractional distillation, plant utility boilers, flare systems, and imported grid electricity.</w:t>
      </w:r>
    </w:p>
    <w:p>
      <w:pPr>
        <w:numPr>
          <w:ilvl w:val="0"/>
          <w:numId w:val="1002"/>
        </w:numPr>
        <w:pStyle w:val="Compact"/>
      </w:pPr>
      <w:r>
        <w:rPr>
          <w:bCs/>
          <w:b/>
        </w:rPr>
        <w:t xml:space="preserve">Downstream Value Chain (Scope 3):</w:t>
      </w:r>
      <w:r>
        <w:t xml:space="preserve"> </w:t>
      </w:r>
      <w:r>
        <w:t xml:space="preserve">Storage and terminal handling, bulk intermodal transport (coastal marine barge and rail tank car), chemical distribution, primary customer processing, and end-of-life oxidation (incineration, biodegradation, chemical persistence).</w:t>
      </w:r>
    </w:p>
    <w:bookmarkEnd w:id="23"/>
    <w:bookmarkStart w:id="24" w:name="allocation-procedures"/>
    <w:p>
      <w:pPr>
        <w:pStyle w:val="Heading3"/>
      </w:pPr>
      <w:r>
        <w:t xml:space="preserve">1.3 Allocation Procedures</w:t>
      </w:r>
    </w:p>
    <w:p>
      <w:pPr>
        <w:pStyle w:val="FirstParagraph"/>
      </w:pPr>
      <w:r>
        <w:t xml:space="preserve">In accordance with the GHG Protocol Product Standard hierarchy,</w:t>
      </w:r>
      <w:r>
        <w:t xml:space="preserve"> </w:t>
      </w:r>
      <w:r>
        <w:rPr>
          <w:bCs/>
          <w:b/>
        </w:rPr>
        <w:t xml:space="preserve">system subdivision</w:t>
      </w:r>
      <w:r>
        <w:t xml:space="preserve"> </w:t>
      </w:r>
      <w:r>
        <w:t xml:space="preserve">is utilized wherever possible. Where multi-output energy streams occur (e.g., export high-pressure steam generated via waste heat recovery boilers), co-product allocation is implemented via</w:t>
      </w:r>
      <w:r>
        <w:t xml:space="preserve"> </w:t>
      </w:r>
      <w:r>
        <w:rPr>
          <w:bCs/>
          <w:b/>
        </w:rPr>
        <w:t xml:space="preserve">energy content (exergy/enthalpy allocation)</w:t>
      </w:r>
      <w:r>
        <w:t xml:space="preserve"> </w:t>
      </w:r>
      <w:r>
        <w:t xml:space="preserve">rather than economic valuation, eliminating arbitrary market price fluctuations.</w:t>
      </w:r>
    </w:p>
    <w:bookmarkEnd w:id="24"/>
    <w:bookmarkStart w:id="25" w:name="geographic-temporal-scope"/>
    <w:p>
      <w:pPr>
        <w:pStyle w:val="Heading3"/>
      </w:pPr>
      <w:r>
        <w:t xml:space="preserve">1.4 Geographic &amp; Temporal Scope</w:t>
      </w:r>
    </w:p>
    <w:p>
      <w:pPr>
        <w:pStyle w:val="FirstParagraph"/>
      </w:pPr>
      <w:r>
        <w:rPr>
          <w:bCs/>
          <w:b/>
        </w:rPr>
        <w:t xml:space="preserve">Primary Manufacturing:</w:t>
      </w:r>
      <w:r>
        <w:t xml:space="preserve"> </w:t>
      </w:r>
      <w:r>
        <w:t xml:space="preserve">Texas and Louisiana Gulf Coast, USA (ERCOT / MISO South electrical reliability sub-regions).</w:t>
      </w:r>
      <w:r>
        <w:br/>
      </w:r>
      <w:r>
        <w:rPr>
          <w:bCs/>
          <w:b/>
        </w:rPr>
        <w:t xml:space="preserve">Upstream Supply Chain:</w:t>
      </w:r>
      <w:r>
        <w:t xml:space="preserve"> </w:t>
      </w:r>
      <w:r>
        <w:t xml:space="preserve">North American natural gas pipeline networks (Permian, Haynesville, and Eagle Ford basins), supported by international specialty catalyst sourcing (Germany/UK).</w:t>
      </w:r>
      <w:r>
        <w:br/>
      </w:r>
      <w:r>
        <w:rPr>
          <w:bCs/>
          <w:b/>
        </w:rPr>
        <w:t xml:space="preserve">Temporal Representativeness:</w:t>
      </w:r>
      <w:r>
        <w:t xml:space="preserve"> </w:t>
      </w:r>
      <w:r>
        <w:t xml:space="preserve">Operating data normalized to modern industrial standard baselines, reflecting active 2025/2026 continuous operations.</w:t>
      </w:r>
    </w:p>
    <w:p>
      <w:r>
        <w:pict>
          <v:rect style="width:0;height:1.5pt" o:hralign="center" o:hrstd="t" o:hr="t"/>
        </w:pict>
      </w:r>
    </w:p>
    <w:bookmarkEnd w:id="25"/>
    <w:bookmarkEnd w:id="26"/>
    <w:bookmarkStart w:id="27" w:name="X07581a6d2a929dfe85efac7249bc063b62edbbb"/>
    <w:p>
      <w:pPr>
        <w:pStyle w:val="Heading2"/>
      </w:pPr>
      <w:r>
        <w:t xml:space="preserve">Step 2: Lifecycle Inventory (LCI) Stage Mapping</w:t>
      </w:r>
    </w:p>
    <w:p>
      <w:pPr>
        <w:pStyle w:val="FirstParagraph"/>
      </w:pPr>
      <w:r>
        <w:t xml:space="preserve">The methanol lifecycle is mapped into six discrete operational phases. Each phase itemizes material flows, utility inputs, and associated emission release pathways: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Material Inputs &amp; Feedstocks</w:t>
            </w:r>
          </w:p>
        </w:tc>
        <w:tc>
          <w:tcPr/>
          <w:p>
            <w:pPr>
              <w:pStyle w:val="Compact"/>
              <w:jc w:val="left"/>
            </w:pPr>
            <w:r>
              <w:t xml:space="preserve">Energy &amp; Utility Inputs</w:t>
            </w:r>
          </w:p>
        </w:tc>
        <w:tc>
          <w:tcPr/>
          <w:p>
            <w:pPr>
              <w:pStyle w:val="Compact"/>
              <w:jc w:val="left"/>
            </w:pPr>
            <w:r>
              <w:t xml:space="preserve">Direct Environmental Releases</w:t>
            </w:r>
          </w:p>
        </w:tc>
      </w:tr>
      <w:tr>
        <w:tc>
          <w:tcPr/>
          <w:p>
            <w:pPr>
              <w:pStyle w:val="Compact"/>
              <w:jc w:val="left"/>
            </w:pPr>
            <w:r>
              <w:rPr>
                <w:bCs/>
                <w:b/>
              </w:rPr>
              <w:t xml:space="preserve">Stage 1: Raw Material Extraction</w:t>
            </w:r>
          </w:p>
        </w:tc>
        <w:tc>
          <w:tcPr/>
          <w:p>
            <w:pPr>
              <w:pStyle w:val="Compact"/>
              <w:jc w:val="left"/>
            </w:pPr>
            <w:r>
              <w:t xml:space="preserve">• Raw Sweet Natural Gas (CH₄, C₂H₆)</w:t>
            </w:r>
            <w:r>
              <w:br/>
            </w:r>
            <w:r>
              <w:t xml:space="preserve">• Wellhead Chemicals &amp; Inhibitors</w:t>
            </w:r>
            <w:r>
              <w:br/>
            </w:r>
            <w:r>
              <w:t xml:space="preserve">• Processing Solvents (Amine/Glycol)</w:t>
            </w:r>
          </w:p>
        </w:tc>
        <w:tc>
          <w:tcPr/>
          <w:p>
            <w:pPr>
              <w:pStyle w:val="Compact"/>
              <w:jc w:val="left"/>
            </w:pPr>
            <w:r>
              <w:t xml:space="preserve">• Wellhead mechanical drilling energy</w:t>
            </w:r>
            <w:r>
              <w:br/>
            </w:r>
            <w:r>
              <w:t xml:space="preserve">• Pipeline compressor gas turbine drive</w:t>
            </w:r>
            <w:r>
              <w:br/>
            </w:r>
            <w:r>
              <w:t xml:space="preserve">• Gas plant processing electricity</w:t>
            </w:r>
          </w:p>
        </w:tc>
        <w:tc>
          <w:tcPr/>
          <w:p>
            <w:pPr>
              <w:pStyle w:val="Compact"/>
              <w:jc w:val="left"/>
            </w:pPr>
            <w:r>
              <w:t xml:space="preserve">• Fugitive CH₄ emissions (wellhead, flaring)</w:t>
            </w:r>
            <w:r>
              <w:br/>
            </w:r>
            <w:r>
              <w:t xml:space="preserve">• Flared sour gases &amp; venting</w:t>
            </w:r>
            <w:r>
              <w:br/>
            </w:r>
            <w:r>
              <w:t xml:space="preserve">• Produced water re-injection</w:t>
            </w:r>
          </w:p>
        </w:tc>
      </w:tr>
      <w:tr>
        <w:tc>
          <w:tcPr/>
          <w:p>
            <w:pPr>
              <w:pStyle w:val="Compact"/>
              <w:jc w:val="left"/>
            </w:pPr>
            <w:r>
              <w:rPr>
                <w:bCs/>
                <w:b/>
              </w:rPr>
              <w:t xml:space="preserve">Stage 2: Pre-Processing &amp; Catalysts</w:t>
            </w:r>
          </w:p>
        </w:tc>
        <w:tc>
          <w:tcPr/>
          <w:p>
            <w:pPr>
              <w:pStyle w:val="Compact"/>
              <w:jc w:val="left"/>
            </w:pPr>
            <w:r>
              <w:t xml:space="preserve">• Raw water (river/municipal intake)</w:t>
            </w:r>
            <w:r>
              <w:br/>
            </w:r>
            <w:r>
              <w:t xml:space="preserve">• Catalyst metals (Copper, Zinc, Alumina)</w:t>
            </w:r>
            <w:r>
              <w:br/>
            </w:r>
            <w:r>
              <w:t xml:space="preserve">• Zinc Oxide (ZnO) desulfurization guard beds</w:t>
            </w:r>
          </w:p>
        </w:tc>
        <w:tc>
          <w:tcPr/>
          <w:p>
            <w:pPr>
              <w:pStyle w:val="Compact"/>
              <w:jc w:val="left"/>
            </w:pPr>
            <w:r>
              <w:t xml:space="preserve">• Reverse osmosis pumping power</w:t>
            </w:r>
            <w:r>
              <w:br/>
            </w:r>
            <w:r>
              <w:t xml:space="preserve">• Thermal calcination energy for catalysts</w:t>
            </w:r>
            <w:r>
              <w:br/>
            </w:r>
            <w:r>
              <w:t xml:space="preserve">• Chemical synthesis energy</w:t>
            </w:r>
          </w:p>
        </w:tc>
        <w:tc>
          <w:tcPr/>
          <w:p>
            <w:pPr>
              <w:pStyle w:val="Compact"/>
              <w:jc w:val="left"/>
            </w:pPr>
            <w:r>
              <w:t xml:space="preserve">• Spent catalyst disposal/recycling waste</w:t>
            </w:r>
            <w:r>
              <w:br/>
            </w:r>
            <w:r>
              <w:t xml:space="preserve">• Demineralizer water reject/brine</w:t>
            </w:r>
            <w:r>
              <w:br/>
            </w:r>
            <w:r>
              <w:t xml:space="preserve">• Trace metallurgical off-gases</w:t>
            </w:r>
          </w:p>
        </w:tc>
      </w:tr>
      <w:tr>
        <w:tc>
          <w:tcPr/>
          <w:p>
            <w:pPr>
              <w:pStyle w:val="Compact"/>
              <w:jc w:val="left"/>
            </w:pPr>
            <w:r>
              <w:rPr>
                <w:bCs/>
                <w:b/>
              </w:rPr>
              <w:t xml:space="preserve">Stage 3: Methanol Synthesis (Plant Gate)</w:t>
            </w:r>
          </w:p>
        </w:tc>
        <w:tc>
          <w:tcPr/>
          <w:p>
            <w:pPr>
              <w:pStyle w:val="Compact"/>
              <w:jc w:val="left"/>
            </w:pPr>
            <w:r>
              <w:t xml:space="preserve">• Pipeline Natural Gas (30.4 GJ LHV / t)</w:t>
            </w:r>
            <w:r>
              <w:br/>
            </w:r>
            <w:r>
              <w:t xml:space="preserve">• Demineralized Boiler Feedwater (1.2 t / t)</w:t>
            </w:r>
            <w:r>
              <w:br/>
            </w:r>
            <w:r>
              <w:t xml:space="preserve">• Make-up Cu/ZnO/Al₂O₃ catalyst (0.045 kg/t)</w:t>
            </w:r>
          </w:p>
        </w:tc>
        <w:tc>
          <w:tcPr/>
          <w:p>
            <w:pPr>
              <w:pStyle w:val="Compact"/>
              <w:jc w:val="left"/>
            </w:pPr>
            <w:r>
              <w:t xml:space="preserve">• Auxiliary fuel gas combustion</w:t>
            </w:r>
            <w:r>
              <w:br/>
            </w:r>
            <w:r>
              <w:t xml:space="preserve">• Syngas compression mechanical shaft power</w:t>
            </w:r>
            <w:r>
              <w:br/>
            </w:r>
            <w:r>
              <w:t xml:space="preserve">• Grid Electricity (98.5 kWh / t)</w:t>
            </w:r>
          </w:p>
        </w:tc>
        <w:tc>
          <w:tcPr/>
          <w:p>
            <w:pPr>
              <w:pStyle w:val="Compact"/>
              <w:jc w:val="left"/>
            </w:pPr>
            <w:r>
              <w:t xml:space="preserve">• Reforming flue gas CO₂ (SMR stacks)</w:t>
            </w:r>
            <w:r>
              <w:br/>
            </w:r>
            <w:r>
              <w:t xml:space="preserve">• Fugitive flanges/valve seal VOCs</w:t>
            </w:r>
            <w:r>
              <w:br/>
            </w:r>
            <w:r>
              <w:t xml:space="preserve">• Low-pressure flare purge gases</w:t>
            </w:r>
          </w:p>
        </w:tc>
      </w:tr>
      <w:tr>
        <w:tc>
          <w:tcPr/>
          <w:p>
            <w:pPr>
              <w:pStyle w:val="Compact"/>
              <w:jc w:val="left"/>
            </w:pPr>
            <w:r>
              <w:rPr>
                <w:bCs/>
                <w:b/>
              </w:rPr>
              <w:t xml:space="preserve">Stage 4: Storage &amp; Bulk Logistics</w:t>
            </w:r>
          </w:p>
        </w:tc>
        <w:tc>
          <w:tcPr/>
          <w:p>
            <w:pPr>
              <w:pStyle w:val="Compact"/>
              <w:jc w:val="left"/>
            </w:pPr>
            <w:r>
              <w:t xml:space="preserve">• Nitrogen gas blanketing (storage tanks)</w:t>
            </w:r>
            <w:r>
              <w:br/>
            </w:r>
            <w:r>
              <w:t xml:space="preserve">• Terminal pipeline steel infrastructure</w:t>
            </w:r>
            <w:r>
              <w:br/>
            </w:r>
            <w:r>
              <w:t xml:space="preserve">• Marine barge &amp; rail tank packaging</w:t>
            </w:r>
          </w:p>
        </w:tc>
        <w:tc>
          <w:tcPr/>
          <w:p>
            <w:pPr>
              <w:pStyle w:val="Compact"/>
              <w:jc w:val="left"/>
            </w:pPr>
            <w:r>
              <w:t xml:space="preserve">• Marine diesel oil (MDO - 450 km barge)</w:t>
            </w:r>
            <w:r>
              <w:br/>
            </w:r>
            <w:r>
              <w:t xml:space="preserve">• Heavy rail diesel fuel (650 km rail)</w:t>
            </w:r>
            <w:r>
              <w:br/>
            </w:r>
            <w:r>
              <w:t xml:space="preserve">• Terminal loading pump electricity</w:t>
            </w:r>
          </w:p>
        </w:tc>
        <w:tc>
          <w:tcPr/>
          <w:p>
            <w:pPr>
              <w:pStyle w:val="Compact"/>
              <w:jc w:val="left"/>
            </w:pPr>
            <w:r>
              <w:t xml:space="preserve">• Diesel combustion exhaust (CO₂, NOₓ, PM)</w:t>
            </w:r>
            <w:r>
              <w:br/>
            </w:r>
            <w:r>
              <w:t xml:space="preserve">• Storage tank vapor vent breathing losses</w:t>
            </w:r>
            <w:r>
              <w:br/>
            </w:r>
            <w:r>
              <w:t xml:space="preserve">• Marine auxiliary engine emissions</w:t>
            </w:r>
          </w:p>
        </w:tc>
      </w:tr>
      <w:tr>
        <w:tc>
          <w:tcPr/>
          <w:p>
            <w:pPr>
              <w:pStyle w:val="Compact"/>
              <w:jc w:val="left"/>
            </w:pPr>
            <w:r>
              <w:rPr>
                <w:bCs/>
                <w:b/>
              </w:rPr>
              <w:t xml:space="preserve">Stage 5: Distribution &amp; Customer Processing</w:t>
            </w:r>
          </w:p>
        </w:tc>
        <w:tc>
          <w:tcPr/>
          <w:p>
            <w:pPr>
              <w:pStyle w:val="Compact"/>
              <w:jc w:val="left"/>
            </w:pPr>
            <w:r>
              <w:t xml:space="preserve">• Secondary delivery tanker trucks</w:t>
            </w:r>
            <w:r>
              <w:br/>
            </w:r>
            <w:r>
              <w:t xml:space="preserve">• Intermediate bulk chemical containers</w:t>
            </w:r>
            <w:r>
              <w:br/>
            </w:r>
            <w:r>
              <w:t xml:space="preserve">• Valve gaskets &amp; transfer hoses</w:t>
            </w:r>
          </w:p>
        </w:tc>
        <w:tc>
          <w:tcPr/>
          <w:p>
            <w:pPr>
              <w:pStyle w:val="Compact"/>
              <w:jc w:val="left"/>
            </w:pPr>
            <w:r>
              <w:t xml:space="preserve">• Road transport diesel fuel (180 km)</w:t>
            </w:r>
            <w:r>
              <w:br/>
            </w:r>
            <w:r>
              <w:t xml:space="preserve">• Customer unloading vapor recovery units</w:t>
            </w:r>
            <w:r>
              <w:br/>
            </w:r>
            <w:r>
              <w:t xml:space="preserve">• Bulk terminal refrigeration/vent scrubbers</w:t>
            </w:r>
          </w:p>
        </w:tc>
        <w:tc>
          <w:tcPr/>
          <w:p>
            <w:pPr>
              <w:pStyle w:val="Compact"/>
              <w:jc w:val="left"/>
            </w:pPr>
            <w:r>
              <w:t xml:space="preserve">• Transport tailpipe exhaust gases</w:t>
            </w:r>
            <w:r>
              <w:br/>
            </w:r>
            <w:r>
              <w:t xml:space="preserve">• Fugitive transfer decoupling losses</w:t>
            </w:r>
            <w:r>
              <w:br/>
            </w:r>
            <w:r>
              <w:t xml:space="preserve">• Trace solvent emissions</w:t>
            </w:r>
          </w:p>
        </w:tc>
      </w:tr>
      <w:tr>
        <w:tc>
          <w:tcPr/>
          <w:p>
            <w:pPr>
              <w:pStyle w:val="Compact"/>
              <w:jc w:val="left"/>
            </w:pPr>
            <w:r>
              <w:rPr>
                <w:bCs/>
                <w:b/>
              </w:rPr>
              <w:t xml:space="preserve">Stage 6: Use Phase &amp; End-of-Life</w:t>
            </w:r>
          </w:p>
        </w:tc>
        <w:tc>
          <w:tcPr/>
          <w:p>
            <w:pPr>
              <w:pStyle w:val="Compact"/>
              <w:jc w:val="left"/>
            </w:pPr>
            <w:r>
              <w:t xml:space="preserve">• Chemical conversion reagents (Formaldehyde, Acetic Acid, MTBE, Olefins)</w:t>
            </w:r>
            <w:r>
              <w:br/>
            </w:r>
            <w:r>
              <w:t xml:space="preserve">• Wastewater treatment biocides</w:t>
            </w:r>
          </w:p>
        </w:tc>
        <w:tc>
          <w:tcPr/>
          <w:p>
            <w:pPr>
              <w:pStyle w:val="Compact"/>
              <w:jc w:val="left"/>
            </w:pPr>
            <w:r>
              <w:t xml:space="preserve">• Waste incineration auxiliary fuel</w:t>
            </w:r>
            <w:r>
              <w:br/>
            </w:r>
            <w:r>
              <w:t xml:space="preserve">• Municipal wastewater aeration power</w:t>
            </w:r>
            <w:r>
              <w:br/>
            </w:r>
            <w:r>
              <w:t xml:space="preserve">• Customer downstream reactor utilities</w:t>
            </w:r>
          </w:p>
        </w:tc>
        <w:tc>
          <w:tcPr/>
          <w:p>
            <w:pPr>
              <w:pStyle w:val="Compact"/>
              <w:jc w:val="left"/>
            </w:pPr>
            <w:r>
              <w:t xml:space="preserve">•</w:t>
            </w:r>
            <w:r>
              <w:t xml:space="preserve"> </w:t>
            </w:r>
            <w:r>
              <w:rPr>
                <w:bCs/>
                <w:b/>
              </w:rPr>
              <w:t xml:space="preserve">100% Carbon Oxidation (1,373.3 kg CO₂)</w:t>
            </w:r>
            <w:r>
              <w:br/>
            </w:r>
            <w:r>
              <w:t xml:space="preserve">• Complete combustion or biological degradation</w:t>
            </w:r>
            <w:r>
              <w:br/>
            </w:r>
            <w:r>
              <w:t xml:space="preserve">• Incinerator stack effluents</w:t>
            </w:r>
          </w:p>
        </w:tc>
      </w:tr>
    </w:tbl>
    <w:p>
      <w:r>
        <w:pict>
          <v:rect style="width:0;height:1.5pt" o:hralign="center" o:hrstd="t" o:hr="t"/>
        </w:pict>
      </w:r>
    </w:p>
    <w:bookmarkEnd w:id="27"/>
    <w:bookmarkStart w:id="28" w:name="Xb7e38f92d17115d931e47786dd1a8ab7adc3a69"/>
    <w:p>
      <w:pPr>
        <w:pStyle w:val="Heading2"/>
      </w:pPr>
      <w:r>
        <w:t xml:space="preserve">Step 3: Primary &amp; Secondary Data Collection Architecture</w:t>
      </w:r>
    </w:p>
    <w:p>
      <w:pPr>
        <w:pStyle w:val="FirstParagraph"/>
      </w:pPr>
      <w:r>
        <w:t xml:space="preserve">Data collection adheres to the data quality indicator (DQI) requirements of the GHG Protocol. For high-materiality activities (feedstock gas, reforming furnace combustion, and stoichiometric end-of-life oxidation), primary engineering models and direct plant logs were utilized. Upstream material refining, catalysts, and generic transportation were modeled using secondary databases.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 Cycle Activity</w:t>
            </w:r>
          </w:p>
        </w:tc>
        <w:tc>
          <w:tcPr/>
          <w:p>
            <w:pPr>
              <w:pStyle w:val="Compact"/>
              <w:jc w:val="left"/>
            </w:pPr>
            <w:r>
              <w:t xml:space="preserve">Input Parameter / Material</w:t>
            </w:r>
          </w:p>
        </w:tc>
        <w:tc>
          <w:tcPr/>
          <w:p>
            <w:pPr>
              <w:pStyle w:val="Compact"/>
              <w:jc w:val="left"/>
            </w:pPr>
            <w:r>
              <w:t xml:space="preserve">Data Source Type</w:t>
            </w:r>
          </w:p>
        </w:tc>
        <w:tc>
          <w:tcPr/>
          <w:p>
            <w:pPr>
              <w:pStyle w:val="Compact"/>
              <w:jc w:val="left"/>
            </w:pPr>
            <w:r>
              <w:t xml:space="preserve">Source Reference</w:t>
            </w:r>
          </w:p>
        </w:tc>
        <w:tc>
          <w:tcPr/>
          <w:p>
            <w:pPr>
              <w:pStyle w:val="Compact"/>
              <w:jc w:val="left"/>
            </w:pPr>
            <w:r>
              <w:t xml:space="preserve">Data Quality Rating</w:t>
            </w:r>
          </w:p>
        </w:tc>
      </w:tr>
      <w:tr>
        <w:tc>
          <w:tcPr/>
          <w:p>
            <w:pPr>
              <w:pStyle w:val="Compact"/>
              <w:jc w:val="left"/>
            </w:pPr>
            <w:r>
              <w:t xml:space="preserve">Reforming Feedstock</w:t>
            </w:r>
          </w:p>
        </w:tc>
        <w:tc>
          <w:tcPr/>
          <w:p>
            <w:pPr>
              <w:pStyle w:val="Compact"/>
              <w:jc w:val="left"/>
            </w:pPr>
            <w:r>
              <w:t xml:space="preserve">Natural Gas (708 Nm³ / t)</w:t>
            </w:r>
          </w:p>
        </w:tc>
        <w:tc>
          <w:tcPr/>
          <w:p>
            <w:pPr>
              <w:pStyle w:val="Compact"/>
              <w:jc w:val="left"/>
            </w:pPr>
            <w:r>
              <w:t xml:space="preserve">Primary Facility Records</w:t>
            </w:r>
          </w:p>
        </w:tc>
        <w:tc>
          <w:tcPr/>
          <w:p>
            <w:pPr>
              <w:pStyle w:val="Compact"/>
              <w:jc w:val="left"/>
            </w:pPr>
            <w:r>
              <w:t xml:space="preserve">Continuous metering, US Gulf Coast</w:t>
            </w:r>
          </w:p>
        </w:tc>
        <w:tc>
          <w:tcPr/>
          <w:p>
            <w:pPr>
              <w:pStyle w:val="Compact"/>
              <w:jc w:val="left"/>
            </w:pPr>
            <w:r>
              <w:t xml:space="preserve">Very High (Tier 3)</w:t>
            </w:r>
          </w:p>
        </w:tc>
      </w:tr>
      <w:tr>
        <w:tc>
          <w:tcPr/>
          <w:p>
            <w:pPr>
              <w:pStyle w:val="Compact"/>
              <w:jc w:val="left"/>
            </w:pPr>
            <w:r>
              <w:t xml:space="preserve">Reforming Fuel Gas</w:t>
            </w:r>
          </w:p>
        </w:tc>
        <w:tc>
          <w:tcPr/>
          <w:p>
            <w:pPr>
              <w:pStyle w:val="Compact"/>
              <w:jc w:val="left"/>
            </w:pPr>
            <w:r>
              <w:t xml:space="preserve">Natural Gas (212 Nm³ / t)</w:t>
            </w:r>
          </w:p>
        </w:tc>
        <w:tc>
          <w:tcPr/>
          <w:p>
            <w:pPr>
              <w:pStyle w:val="Compact"/>
              <w:jc w:val="left"/>
            </w:pPr>
            <w:r>
              <w:t xml:space="preserve">Primary Facility Records</w:t>
            </w:r>
          </w:p>
        </w:tc>
        <w:tc>
          <w:tcPr/>
          <w:p>
            <w:pPr>
              <w:pStyle w:val="Compact"/>
              <w:jc w:val="left"/>
            </w:pPr>
            <w:r>
              <w:t xml:space="preserve">Gas chromatograph / flow meter</w:t>
            </w:r>
          </w:p>
        </w:tc>
        <w:tc>
          <w:tcPr/>
          <w:p>
            <w:pPr>
              <w:pStyle w:val="Compact"/>
              <w:jc w:val="left"/>
            </w:pPr>
            <w:r>
              <w:t xml:space="preserve">Very High (Tier 3)</w:t>
            </w:r>
          </w:p>
        </w:tc>
      </w:tr>
      <w:tr>
        <w:tc>
          <w:tcPr/>
          <w:p>
            <w:pPr>
              <w:pStyle w:val="Compact"/>
              <w:jc w:val="left"/>
            </w:pPr>
            <w:r>
              <w:t xml:space="preserve">Import Electricity</w:t>
            </w:r>
          </w:p>
        </w:tc>
        <w:tc>
          <w:tcPr/>
          <w:p>
            <w:pPr>
              <w:pStyle w:val="Compact"/>
              <w:jc w:val="left"/>
            </w:pPr>
            <w:r>
              <w:t xml:space="preserve">98.5 kWh / t</w:t>
            </w:r>
          </w:p>
        </w:tc>
        <w:tc>
          <w:tcPr/>
          <w:p>
            <w:pPr>
              <w:pStyle w:val="Compact"/>
              <w:jc w:val="left"/>
            </w:pPr>
            <w:r>
              <w:t xml:space="preserve">Primary Facility Records</w:t>
            </w:r>
          </w:p>
        </w:tc>
        <w:tc>
          <w:tcPr/>
          <w:p>
            <w:pPr>
              <w:pStyle w:val="Compact"/>
              <w:jc w:val="left"/>
            </w:pPr>
            <w:r>
              <w:t xml:space="preserve">Utility revenue meter (ERCOT/MISO)</w:t>
            </w:r>
          </w:p>
        </w:tc>
        <w:tc>
          <w:tcPr/>
          <w:p>
            <w:pPr>
              <w:pStyle w:val="Compact"/>
              <w:jc w:val="left"/>
            </w:pPr>
            <w:r>
              <w:t xml:space="preserve">High (Tier 2)</w:t>
            </w:r>
          </w:p>
        </w:tc>
      </w:tr>
      <w:tr>
        <w:tc>
          <w:tcPr/>
          <w:p>
            <w:pPr>
              <w:pStyle w:val="Compact"/>
              <w:jc w:val="left"/>
            </w:pPr>
            <w:r>
              <w:t xml:space="preserve">Process Water Supply</w:t>
            </w:r>
          </w:p>
        </w:tc>
        <w:tc>
          <w:tcPr/>
          <w:p>
            <w:pPr>
              <w:pStyle w:val="Compact"/>
              <w:jc w:val="left"/>
            </w:pPr>
            <w:r>
              <w:t xml:space="preserve">1.25 m³ raw water / t</w:t>
            </w:r>
          </w:p>
        </w:tc>
        <w:tc>
          <w:tcPr/>
          <w:p>
            <w:pPr>
              <w:pStyle w:val="Compact"/>
              <w:jc w:val="left"/>
            </w:pPr>
            <w:r>
              <w:t xml:space="preserve">Primary Facility Records</w:t>
            </w:r>
          </w:p>
        </w:tc>
        <w:tc>
          <w:tcPr/>
          <w:p>
            <w:pPr>
              <w:pStyle w:val="Compact"/>
              <w:jc w:val="left"/>
            </w:pPr>
            <w:r>
              <w:t xml:space="preserve">Facility intake flow meters</w:t>
            </w:r>
          </w:p>
        </w:tc>
        <w:tc>
          <w:tcPr/>
          <w:p>
            <w:pPr>
              <w:pStyle w:val="Compact"/>
              <w:jc w:val="left"/>
            </w:pPr>
            <w:r>
              <w:t xml:space="preserve">High (Tier 2)</w:t>
            </w:r>
          </w:p>
        </w:tc>
      </w:tr>
      <w:tr>
        <w:tc>
          <w:tcPr/>
          <w:p>
            <w:pPr>
              <w:pStyle w:val="Compact"/>
              <w:jc w:val="left"/>
            </w:pPr>
            <w:r>
              <w:t xml:space="preserve">Synthesis Catalyst</w:t>
            </w:r>
          </w:p>
        </w:tc>
        <w:tc>
          <w:tcPr/>
          <w:p>
            <w:pPr>
              <w:pStyle w:val="Compact"/>
              <w:jc w:val="left"/>
            </w:pPr>
            <w:r>
              <w:t xml:space="preserve">Cu/ZnO/Al₂O₃ (0.045 kg / t)</w:t>
            </w:r>
          </w:p>
        </w:tc>
        <w:tc>
          <w:tcPr/>
          <w:p>
            <w:pPr>
              <w:pStyle w:val="Compact"/>
              <w:jc w:val="left"/>
            </w:pPr>
            <w:r>
              <w:t xml:space="preserve">Secondary / Supplier EPD</w:t>
            </w:r>
          </w:p>
        </w:tc>
        <w:tc>
          <w:tcPr/>
          <w:p>
            <w:pPr>
              <w:pStyle w:val="Compact"/>
              <w:jc w:val="left"/>
            </w:pPr>
            <w:r>
              <w:t xml:space="preserve">Ecoinvent v3.10 Chemical Specialist</w:t>
            </w:r>
          </w:p>
        </w:tc>
        <w:tc>
          <w:tcPr/>
          <w:p>
            <w:pPr>
              <w:pStyle w:val="Compact"/>
              <w:jc w:val="left"/>
            </w:pPr>
            <w:r>
              <w:t xml:space="preserve">Medium (Tier 2)</w:t>
            </w:r>
          </w:p>
        </w:tc>
      </w:tr>
      <w:tr>
        <w:tc>
          <w:tcPr/>
          <w:p>
            <w:pPr>
              <w:pStyle w:val="Compact"/>
              <w:jc w:val="left"/>
            </w:pPr>
            <w:r>
              <w:t xml:space="preserve">Fugitive Methane Leakage</w:t>
            </w:r>
          </w:p>
        </w:tc>
        <w:tc>
          <w:tcPr/>
          <w:p>
            <w:pPr>
              <w:pStyle w:val="Compact"/>
              <w:jc w:val="left"/>
            </w:pPr>
            <w:r>
              <w:t xml:space="preserve">1.4% basin loss rate</w:t>
            </w:r>
          </w:p>
        </w:tc>
        <w:tc>
          <w:tcPr/>
          <w:p>
            <w:pPr>
              <w:pStyle w:val="Compact"/>
              <w:jc w:val="left"/>
            </w:pPr>
            <w:r>
              <w:t xml:space="preserve">Empirical / EPA Subpart W</w:t>
            </w:r>
          </w:p>
        </w:tc>
        <w:tc>
          <w:tcPr/>
          <w:p>
            <w:pPr>
              <w:pStyle w:val="Compact"/>
              <w:jc w:val="left"/>
            </w:pPr>
            <w:r>
              <w:t xml:space="preserve">US EPA GHGRP &amp; GREET 2025</w:t>
            </w:r>
          </w:p>
        </w:tc>
        <w:tc>
          <w:tcPr/>
          <w:p>
            <w:pPr>
              <w:pStyle w:val="Compact"/>
              <w:jc w:val="left"/>
            </w:pPr>
            <w:r>
              <w:t xml:space="preserve">High (Tier 3)</w:t>
            </w:r>
          </w:p>
        </w:tc>
      </w:tr>
      <w:tr>
        <w:tc>
          <w:tcPr/>
          <w:p>
            <w:pPr>
              <w:pStyle w:val="Compact"/>
              <w:jc w:val="left"/>
            </w:pPr>
            <w:r>
              <w:t xml:space="preserve">Inland Barge Logistics</w:t>
            </w:r>
          </w:p>
        </w:tc>
        <w:tc>
          <w:tcPr/>
          <w:p>
            <w:pPr>
              <w:pStyle w:val="Compact"/>
              <w:jc w:val="left"/>
            </w:pPr>
            <w:r>
              <w:t xml:space="preserve">450 tonne-km (tkm)</w:t>
            </w:r>
          </w:p>
        </w:tc>
        <w:tc>
          <w:tcPr/>
          <w:p>
            <w:pPr>
              <w:pStyle w:val="Compact"/>
              <w:jc w:val="left"/>
            </w:pPr>
            <w:r>
              <w:t xml:space="preserve">Secondary / Standard Route</w:t>
            </w:r>
          </w:p>
        </w:tc>
        <w:tc>
          <w:tcPr/>
          <w:p>
            <w:pPr>
              <w:pStyle w:val="Compact"/>
              <w:jc w:val="left"/>
            </w:pPr>
            <w:r>
              <w:t xml:space="preserve">US Bureau of Transportation Statistics</w:t>
            </w:r>
          </w:p>
        </w:tc>
        <w:tc>
          <w:tcPr/>
          <w:p>
            <w:pPr>
              <w:pStyle w:val="Compact"/>
              <w:jc w:val="left"/>
            </w:pPr>
            <w:r>
              <w:t xml:space="preserve">High (Tier 2)</w:t>
            </w:r>
          </w:p>
        </w:tc>
      </w:tr>
      <w:tr>
        <w:tc>
          <w:tcPr/>
          <w:p>
            <w:pPr>
              <w:pStyle w:val="Compact"/>
              <w:jc w:val="left"/>
            </w:pPr>
            <w:r>
              <w:t xml:space="preserve">Rail Logistics</w:t>
            </w:r>
          </w:p>
        </w:tc>
        <w:tc>
          <w:tcPr/>
          <w:p>
            <w:pPr>
              <w:pStyle w:val="Compact"/>
              <w:jc w:val="left"/>
            </w:pPr>
            <w:r>
              <w:t xml:space="preserve">650 tonne-km (tkm)</w:t>
            </w:r>
          </w:p>
        </w:tc>
        <w:tc>
          <w:tcPr/>
          <w:p>
            <w:pPr>
              <w:pStyle w:val="Compact"/>
              <w:jc w:val="left"/>
            </w:pPr>
            <w:r>
              <w:t xml:space="preserve">Secondary / Rail Route</w:t>
            </w:r>
          </w:p>
        </w:tc>
        <w:tc>
          <w:tcPr/>
          <w:p>
            <w:pPr>
              <w:pStyle w:val="Compact"/>
              <w:jc w:val="left"/>
            </w:pPr>
            <w:r>
              <w:t xml:space="preserve">US Class I Rail Average Freight</w:t>
            </w:r>
          </w:p>
        </w:tc>
        <w:tc>
          <w:tcPr/>
          <w:p>
            <w:pPr>
              <w:pStyle w:val="Compact"/>
              <w:jc w:val="left"/>
            </w:pPr>
            <w:r>
              <w:t xml:space="preserve">High (Tier 2)</w:t>
            </w:r>
          </w:p>
        </w:tc>
      </w:tr>
      <w:tr>
        <w:tc>
          <w:tcPr/>
          <w:p>
            <w:pPr>
              <w:pStyle w:val="Compact"/>
              <w:jc w:val="left"/>
            </w:pPr>
            <w:r>
              <w:t xml:space="preserve">Customer Truck Logistics</w:t>
            </w:r>
          </w:p>
        </w:tc>
        <w:tc>
          <w:tcPr/>
          <w:p>
            <w:pPr>
              <w:pStyle w:val="Compact"/>
              <w:jc w:val="left"/>
            </w:pPr>
            <w:r>
              <w:t xml:space="preserve">180 tonne-km (tkm)</w:t>
            </w:r>
          </w:p>
        </w:tc>
        <w:tc>
          <w:tcPr/>
          <w:p>
            <w:pPr>
              <w:pStyle w:val="Compact"/>
              <w:jc w:val="left"/>
            </w:pPr>
            <w:r>
              <w:t xml:space="preserve">Secondary Industry Model</w:t>
            </w:r>
          </w:p>
        </w:tc>
        <w:tc>
          <w:tcPr/>
          <w:p>
            <w:pPr>
              <w:pStyle w:val="Compact"/>
              <w:jc w:val="left"/>
            </w:pPr>
            <w:r>
              <w:t xml:space="preserve">DEFRA 2025 Heavy Goods Vehicle</w:t>
            </w:r>
          </w:p>
        </w:tc>
        <w:tc>
          <w:tcPr/>
          <w:p>
            <w:pPr>
              <w:pStyle w:val="Compact"/>
              <w:jc w:val="left"/>
            </w:pPr>
            <w:r>
              <w:t xml:space="preserve">Medium (Tier 2)</w:t>
            </w:r>
          </w:p>
        </w:tc>
      </w:tr>
      <w:tr>
        <w:tc>
          <w:tcPr/>
          <w:p>
            <w:pPr>
              <w:pStyle w:val="Compact"/>
              <w:jc w:val="left"/>
            </w:pPr>
            <w:r>
              <w:t xml:space="preserve">End-of-Life Stoichiometry</w:t>
            </w:r>
          </w:p>
        </w:tc>
        <w:tc>
          <w:tcPr/>
          <w:p>
            <w:pPr>
              <w:pStyle w:val="Compact"/>
              <w:jc w:val="left"/>
            </w:pPr>
            <w:r>
              <w:t xml:space="preserve">37.46% Carbon mass fraction</w:t>
            </w:r>
          </w:p>
        </w:tc>
        <w:tc>
          <w:tcPr/>
          <w:p>
            <w:pPr>
              <w:pStyle w:val="Compact"/>
              <w:jc w:val="left"/>
            </w:pPr>
            <w:r>
              <w:t xml:space="preserve">Primary Stoichiometric Law</w:t>
            </w:r>
          </w:p>
        </w:tc>
        <w:tc>
          <w:tcPr/>
          <w:p>
            <w:pPr>
              <w:pStyle w:val="Compact"/>
              <w:jc w:val="left"/>
            </w:pPr>
            <w:r>
              <w:t xml:space="preserve">Molecular Weight CH₃OH (32.04 g/mol)</w:t>
            </w:r>
          </w:p>
        </w:tc>
        <w:tc>
          <w:tcPr/>
          <w:p>
            <w:pPr>
              <w:pStyle w:val="Compact"/>
              <w:jc w:val="left"/>
            </w:pPr>
            <w:r>
              <w:t xml:space="preserve">Exact (Tier 1)</w:t>
            </w:r>
          </w:p>
        </w:tc>
      </w:tr>
    </w:tbl>
    <w:p>
      <w:r>
        <w:pict>
          <v:rect style="width:0;height:1.5pt" o:hralign="center" o:hrstd="t" o:hr="t"/>
        </w:pict>
      </w:r>
    </w:p>
    <w:bookmarkEnd w:id="28"/>
    <w:bookmarkStart w:id="32" w:name="X57fa0dfeac47c37d0611858b7cdc0ca06491beb"/>
    <w:p>
      <w:pPr>
        <w:pStyle w:val="Heading2"/>
      </w:pPr>
      <w:r>
        <w:t xml:space="preserve">Step 4: Greenhouse Gas Emissions Calculation &amp; Quantification</w:t>
      </w:r>
    </w:p>
    <w:p>
      <w:pPr>
        <w:pStyle w:val="FirstParagraph"/>
      </w:pPr>
      <w:r>
        <w:t xml:space="preserve">Quantification is executed via standard GHG Protocol algorithms:</w:t>
      </w:r>
    </w:p>
    <w:p>
      <w:pPr>
        <w:pStyle w:val="BodyText"/>
      </w:pPr>
      <w:r>
        <w:t xml:space="preserve">$$\text{Emissions } (\text{kg CO}_2\text{e}) = \text{Activity Data} \times \text{Emission Factor (EF)}$$</w:t>
      </w:r>
      <w:r>
        <w:t xml:space="preserve"> </w:t>
      </w:r>
      <w:r>
        <w:rPr>
          <w:iCs/>
          <w:i/>
        </w:rPr>
        <w:t xml:space="preserve">All Global Warming Potentials (GWPs) reflect IPCC Sixth Assessment Report (AR6) 100-year values (CO₂ = 1, CH₄ = 29.8, N₂O = 273).</w:t>
      </w:r>
    </w:p>
    <w:bookmarkStart w:id="29" w:name="X317985b22556fc7740e4329b4cc83cdc6bab18e"/>
    <w:p>
      <w:pPr>
        <w:pStyle w:val="Heading3"/>
      </w:pPr>
      <w:r>
        <w:t xml:space="preserve">4.1 Emission Factors &amp; Multi-Scope Quantification Table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GHG Scope</w:t>
            </w:r>
          </w:p>
        </w:tc>
        <w:tc>
          <w:tcPr/>
          <w:p>
            <w:pPr>
              <w:pStyle w:val="Compact"/>
              <w:jc w:val="left"/>
            </w:pPr>
            <w:r>
              <w:t xml:space="preserve">Lifecycle Emission Source</w:t>
            </w:r>
          </w:p>
        </w:tc>
        <w:tc>
          <w:tcPr/>
          <w:p>
            <w:pPr>
              <w:pStyle w:val="Compact"/>
              <w:jc w:val="left"/>
            </w:pPr>
            <w:r>
              <w:t xml:space="preserve">Activity Level (per FU)</w:t>
            </w:r>
          </w:p>
        </w:tc>
        <w:tc>
          <w:tcPr/>
          <w:p>
            <w:pPr>
              <w:pStyle w:val="Compact"/>
              <w:jc w:val="left"/>
            </w:pPr>
            <w:r>
              <w:t xml:space="preserve">Emission Factor Reference</w:t>
            </w:r>
          </w:p>
        </w:tc>
        <w:tc>
          <w:tcPr/>
          <w:p>
            <w:pPr>
              <w:pStyle w:val="Compact"/>
              <w:jc w:val="left"/>
            </w:pPr>
            <w:r>
              <w:t xml:space="preserve">Factor Value</w:t>
            </w:r>
          </w:p>
        </w:tc>
        <w:tc>
          <w:tcPr/>
          <w:p>
            <w:pPr>
              <w:pStyle w:val="Compact"/>
              <w:jc w:val="left"/>
            </w:pPr>
            <w:r>
              <w:t xml:space="preserve">Total (kg CO₂e)</w:t>
            </w:r>
          </w:p>
        </w:tc>
      </w:tr>
      <w:tr>
        <w:tc>
          <w:tcPr/>
          <w:p>
            <w:pPr>
              <w:pStyle w:val="Compact"/>
              <w:jc w:val="left"/>
            </w:pPr>
            <w:r>
              <w:rPr>
                <w:bCs/>
                <w:b/>
              </w:rPr>
              <w:t xml:space="preserve">Scope 1</w:t>
            </w:r>
          </w:p>
        </w:tc>
        <w:tc>
          <w:tcPr/>
          <w:p>
            <w:pPr>
              <w:pStyle w:val="Compact"/>
              <w:jc w:val="left"/>
            </w:pPr>
            <w:r>
              <w:t xml:space="preserve">Reforming Furnace Combustion (Fuel Gas)</w:t>
            </w:r>
          </w:p>
        </w:tc>
        <w:tc>
          <w:tcPr/>
          <w:p>
            <w:pPr>
              <w:pStyle w:val="Compact"/>
              <w:jc w:val="left"/>
            </w:pPr>
            <w:r>
              <w:t xml:space="preserve">7.84 GJ (LHV)</w:t>
            </w:r>
          </w:p>
        </w:tc>
        <w:tc>
          <w:tcPr/>
          <w:p>
            <w:pPr>
              <w:pStyle w:val="Compact"/>
              <w:jc w:val="left"/>
            </w:pPr>
            <w:r>
              <w:t xml:space="preserve">US EPA Subpart C / GREET (Natural gas combustion)</w:t>
            </w:r>
          </w:p>
        </w:tc>
        <w:tc>
          <w:tcPr/>
          <w:p>
            <w:pPr>
              <w:pStyle w:val="Compact"/>
              <w:jc w:val="left"/>
            </w:pPr>
            <w:r>
              <w:t xml:space="preserve">56.10 kg/GJ</w:t>
            </w:r>
          </w:p>
        </w:tc>
        <w:tc>
          <w:tcPr/>
          <w:p>
            <w:pPr>
              <w:pStyle w:val="Compact"/>
              <w:jc w:val="left"/>
            </w:pPr>
            <w:r>
              <w:t xml:space="preserve">439.82</w:t>
            </w:r>
          </w:p>
        </w:tc>
      </w:tr>
      <w:tr>
        <w:tc>
          <w:tcPr/>
          <w:p>
            <w:pPr>
              <w:pStyle w:val="Compact"/>
              <w:jc w:val="left"/>
            </w:pPr>
            <w:r>
              <w:rPr>
                <w:bCs/>
                <w:b/>
              </w:rPr>
              <w:t xml:space="preserve">Scope 1</w:t>
            </w:r>
          </w:p>
        </w:tc>
        <w:tc>
          <w:tcPr/>
          <w:p>
            <w:pPr>
              <w:pStyle w:val="Compact"/>
              <w:jc w:val="left"/>
            </w:pPr>
            <w:r>
              <w:t xml:space="preserve">Process Off-Gas CO₂ Stripping / SMR Vent</w:t>
            </w:r>
          </w:p>
        </w:tc>
        <w:tc>
          <w:tcPr/>
          <w:p>
            <w:pPr>
              <w:pStyle w:val="Compact"/>
              <w:jc w:val="left"/>
            </w:pPr>
            <w:r>
              <w:t xml:space="preserve">226.40 kg CO₂</w:t>
            </w:r>
          </w:p>
        </w:tc>
        <w:tc>
          <w:tcPr/>
          <w:p>
            <w:pPr>
              <w:pStyle w:val="Compact"/>
              <w:jc w:val="left"/>
            </w:pPr>
            <w:r>
              <w:t xml:space="preserve">Stoichiometric shift converter vent balance</w:t>
            </w:r>
          </w:p>
        </w:tc>
        <w:tc>
          <w:tcPr/>
          <w:p>
            <w:pPr>
              <w:pStyle w:val="Compact"/>
              <w:jc w:val="left"/>
            </w:pPr>
            <w:r>
              <w:t xml:space="preserve">1.000 kg/kg</w:t>
            </w:r>
          </w:p>
        </w:tc>
        <w:tc>
          <w:tcPr/>
          <w:p>
            <w:pPr>
              <w:pStyle w:val="Compact"/>
              <w:jc w:val="left"/>
            </w:pPr>
            <w:r>
              <w:t xml:space="preserve">226.40</w:t>
            </w:r>
          </w:p>
        </w:tc>
      </w:tr>
      <w:tr>
        <w:tc>
          <w:tcPr/>
          <w:p>
            <w:pPr>
              <w:pStyle w:val="Compact"/>
              <w:jc w:val="left"/>
            </w:pPr>
            <w:r>
              <w:rPr>
                <w:bCs/>
                <w:b/>
              </w:rPr>
              <w:t xml:space="preserve">Scope 1</w:t>
            </w:r>
          </w:p>
        </w:tc>
        <w:tc>
          <w:tcPr/>
          <w:p>
            <w:pPr>
              <w:pStyle w:val="Compact"/>
              <w:jc w:val="left"/>
            </w:pPr>
            <w:r>
              <w:t xml:space="preserve">Onsite Flares, Purge &amp; Fugitive Seals</w:t>
            </w:r>
          </w:p>
        </w:tc>
        <w:tc>
          <w:tcPr/>
          <w:p>
            <w:pPr>
              <w:pStyle w:val="Compact"/>
              <w:jc w:val="left"/>
            </w:pPr>
            <w:r>
              <w:t xml:space="preserve">0.27 kg CH₄ eq.</w:t>
            </w:r>
          </w:p>
        </w:tc>
        <w:tc>
          <w:tcPr/>
          <w:p>
            <w:pPr>
              <w:pStyle w:val="Compact"/>
              <w:jc w:val="left"/>
            </w:pPr>
            <w:r>
              <w:t xml:space="preserve">EPA Method 21 / LDAR monitoring + AR6 GWP</w:t>
            </w:r>
          </w:p>
        </w:tc>
        <w:tc>
          <w:tcPr/>
          <w:p>
            <w:pPr>
              <w:pStyle w:val="Compact"/>
              <w:jc w:val="left"/>
            </w:pPr>
            <w:r>
              <w:t xml:space="preserve">29.80 kg/kg</w:t>
            </w:r>
          </w:p>
        </w:tc>
        <w:tc>
          <w:tcPr/>
          <w:p>
            <w:pPr>
              <w:pStyle w:val="Compact"/>
              <w:jc w:val="left"/>
            </w:pPr>
            <w:r>
              <w:t xml:space="preserve">8.05</w:t>
            </w:r>
          </w:p>
        </w:tc>
      </w:tr>
      <w:tr>
        <w:tc>
          <w:tcPr/>
          <w:p>
            <w:pPr>
              <w:pStyle w:val="Compact"/>
              <w:jc w:val="left"/>
            </w:pPr>
            <w:r>
              <w:rPr>
                <w:bCs/>
                <w:b/>
              </w:rPr>
              <w:t xml:space="preserve">Scope 2</w:t>
            </w:r>
          </w:p>
        </w:tc>
        <w:tc>
          <w:tcPr/>
          <w:p>
            <w:pPr>
              <w:pStyle w:val="Compact"/>
              <w:jc w:val="left"/>
            </w:pPr>
            <w:r>
              <w:t xml:space="preserve">Purchased Grid Power (Refrigeration &amp; Pumps)</w:t>
            </w:r>
          </w:p>
        </w:tc>
        <w:tc>
          <w:tcPr/>
          <w:p>
            <w:pPr>
              <w:pStyle w:val="Compact"/>
              <w:jc w:val="left"/>
            </w:pPr>
            <w:r>
              <w:t xml:space="preserve">98.50 kWh</w:t>
            </w:r>
          </w:p>
        </w:tc>
        <w:tc>
          <w:tcPr/>
          <w:p>
            <w:pPr>
              <w:pStyle w:val="Compact"/>
              <w:jc w:val="left"/>
            </w:pPr>
            <w:r>
              <w:t xml:space="preserve">eGRID 2024 / MISO-South Subregion (Market-based)</w:t>
            </w:r>
          </w:p>
        </w:tc>
        <w:tc>
          <w:tcPr/>
          <w:p>
            <w:pPr>
              <w:pStyle w:val="Compact"/>
              <w:jc w:val="left"/>
            </w:pPr>
            <w:r>
              <w:t xml:space="preserve">0.392 kg/kWh</w:t>
            </w:r>
          </w:p>
        </w:tc>
        <w:tc>
          <w:tcPr/>
          <w:p>
            <w:pPr>
              <w:pStyle w:val="Compact"/>
              <w:jc w:val="left"/>
            </w:pPr>
            <w:r>
              <w:t xml:space="preserve">38.61</w:t>
            </w:r>
          </w:p>
        </w:tc>
      </w:tr>
      <w:tr>
        <w:tc>
          <w:tcPr/>
          <w:p>
            <w:pPr>
              <w:pStyle w:val="Compact"/>
              <w:jc w:val="left"/>
            </w:pPr>
            <w:r>
              <w:rPr>
                <w:bCs/>
                <w:b/>
              </w:rPr>
              <w:t xml:space="preserve">Scope 3 (Cat 1)</w:t>
            </w:r>
          </w:p>
        </w:tc>
        <w:tc>
          <w:tcPr/>
          <w:p>
            <w:pPr>
              <w:pStyle w:val="Compact"/>
              <w:jc w:val="left"/>
            </w:pPr>
            <w:r>
              <w:t xml:space="preserve">Upstream Natural Gas Extraction &amp; Processing</w:t>
            </w:r>
          </w:p>
        </w:tc>
        <w:tc>
          <w:tcPr/>
          <w:p>
            <w:pPr>
              <w:pStyle w:val="Compact"/>
              <w:jc w:val="left"/>
            </w:pPr>
            <w:r>
              <w:t xml:space="preserve">33.90 GJ</w:t>
            </w:r>
          </w:p>
        </w:tc>
        <w:tc>
          <w:tcPr/>
          <w:p>
            <w:pPr>
              <w:pStyle w:val="Compact"/>
              <w:jc w:val="left"/>
            </w:pPr>
            <w:r>
              <w:t xml:space="preserve">Ecoinvent v3.10 / GREET (Permian Basin supply)</w:t>
            </w:r>
          </w:p>
        </w:tc>
        <w:tc>
          <w:tcPr/>
          <w:p>
            <w:pPr>
              <w:pStyle w:val="Compact"/>
              <w:jc w:val="left"/>
            </w:pPr>
            <w:r>
              <w:t xml:space="preserve">4.85 kg/GJ</w:t>
            </w:r>
          </w:p>
        </w:tc>
        <w:tc>
          <w:tcPr/>
          <w:p>
            <w:pPr>
              <w:pStyle w:val="Compact"/>
              <w:jc w:val="left"/>
            </w:pPr>
            <w:r>
              <w:t xml:space="preserve">164.42</w:t>
            </w:r>
          </w:p>
        </w:tc>
      </w:tr>
      <w:tr>
        <w:tc>
          <w:tcPr/>
          <w:p>
            <w:pPr>
              <w:pStyle w:val="Compact"/>
              <w:jc w:val="left"/>
            </w:pPr>
            <w:r>
              <w:rPr>
                <w:bCs/>
                <w:b/>
              </w:rPr>
              <w:t xml:space="preserve">Scope 3 (Cat 1)</w:t>
            </w:r>
          </w:p>
        </w:tc>
        <w:tc>
          <w:tcPr/>
          <w:p>
            <w:pPr>
              <w:pStyle w:val="Compact"/>
              <w:jc w:val="left"/>
            </w:pPr>
            <w:r>
              <w:t xml:space="preserve">Process Catalyst &amp; Chemical Manufacture</w:t>
            </w:r>
          </w:p>
        </w:tc>
        <w:tc>
          <w:tcPr/>
          <w:p>
            <w:pPr>
              <w:pStyle w:val="Compact"/>
              <w:jc w:val="left"/>
            </w:pPr>
            <w:r>
              <w:t xml:space="preserve">0.045 kg cat</w:t>
            </w:r>
          </w:p>
        </w:tc>
        <w:tc>
          <w:tcPr/>
          <w:p>
            <w:pPr>
              <w:pStyle w:val="Compact"/>
              <w:jc w:val="left"/>
            </w:pPr>
            <w:r>
              <w:t xml:space="preserve">Ecoinvent v3.10 (Copper catalyst synthesis)</w:t>
            </w:r>
          </w:p>
        </w:tc>
        <w:tc>
          <w:tcPr/>
          <w:p>
            <w:pPr>
              <w:pStyle w:val="Compact"/>
              <w:jc w:val="left"/>
            </w:pPr>
            <w:r>
              <w:t xml:space="preserve">12.40 kg/kg</w:t>
            </w:r>
          </w:p>
        </w:tc>
        <w:tc>
          <w:tcPr/>
          <w:p>
            <w:pPr>
              <w:pStyle w:val="Compact"/>
              <w:jc w:val="left"/>
            </w:pPr>
            <w:r>
              <w:t xml:space="preserve">0.56</w:t>
            </w:r>
          </w:p>
        </w:tc>
      </w:tr>
      <w:tr>
        <w:tc>
          <w:tcPr/>
          <w:p>
            <w:pPr>
              <w:pStyle w:val="Compact"/>
              <w:jc w:val="left"/>
            </w:pPr>
            <w:r>
              <w:rPr>
                <w:bCs/>
                <w:b/>
              </w:rPr>
              <w:t xml:space="preserve">Scope 3 (Cat 1)</w:t>
            </w:r>
          </w:p>
        </w:tc>
        <w:tc>
          <w:tcPr/>
          <w:p>
            <w:pPr>
              <w:pStyle w:val="Compact"/>
              <w:jc w:val="left"/>
            </w:pPr>
            <w:r>
              <w:t xml:space="preserve">Water Intake, Demineralization &amp; Treatment</w:t>
            </w:r>
          </w:p>
        </w:tc>
        <w:tc>
          <w:tcPr/>
          <w:p>
            <w:pPr>
              <w:pStyle w:val="Compact"/>
              <w:jc w:val="left"/>
            </w:pPr>
            <w:r>
              <w:t xml:space="preserve">1.25 m³</w:t>
            </w:r>
          </w:p>
        </w:tc>
        <w:tc>
          <w:tcPr/>
          <w:p>
            <w:pPr>
              <w:pStyle w:val="Compact"/>
              <w:jc w:val="left"/>
            </w:pPr>
            <w:r>
              <w:t xml:space="preserve">DEFRA / Ecoinvent process water treatment</w:t>
            </w:r>
          </w:p>
        </w:tc>
        <w:tc>
          <w:tcPr/>
          <w:p>
            <w:pPr>
              <w:pStyle w:val="Compact"/>
              <w:jc w:val="left"/>
            </w:pPr>
            <w:r>
              <w:t xml:space="preserve">0.42 kg/m³</w:t>
            </w:r>
          </w:p>
        </w:tc>
        <w:tc>
          <w:tcPr/>
          <w:p>
            <w:pPr>
              <w:pStyle w:val="Compact"/>
              <w:jc w:val="left"/>
            </w:pPr>
            <w:r>
              <w:t xml:space="preserve">0.53</w:t>
            </w:r>
          </w:p>
        </w:tc>
      </w:tr>
      <w:tr>
        <w:tc>
          <w:tcPr/>
          <w:p>
            <w:pPr>
              <w:pStyle w:val="Compact"/>
              <w:jc w:val="left"/>
            </w:pPr>
            <w:r>
              <w:rPr>
                <w:bCs/>
                <w:b/>
              </w:rPr>
              <w:t xml:space="preserve">Scope 3 (Cat 3)</w:t>
            </w:r>
          </w:p>
        </w:tc>
        <w:tc>
          <w:tcPr/>
          <w:p>
            <w:pPr>
              <w:pStyle w:val="Compact"/>
              <w:jc w:val="left"/>
            </w:pPr>
            <w:r>
              <w:t xml:space="preserve">Electricity Transmission &amp; Distribution (T&amp;D)</w:t>
            </w:r>
          </w:p>
        </w:tc>
        <w:tc>
          <w:tcPr/>
          <w:p>
            <w:pPr>
              <w:pStyle w:val="Compact"/>
              <w:jc w:val="left"/>
            </w:pPr>
            <w:r>
              <w:t xml:space="preserve">98.50 kWh</w:t>
            </w:r>
          </w:p>
        </w:tc>
        <w:tc>
          <w:tcPr/>
          <w:p>
            <w:pPr>
              <w:pStyle w:val="Compact"/>
              <w:jc w:val="left"/>
            </w:pPr>
            <w:r>
              <w:t xml:space="preserve">eGRID Grid Loss Factors (5.3% average line loss)</w:t>
            </w:r>
          </w:p>
        </w:tc>
        <w:tc>
          <w:tcPr/>
          <w:p>
            <w:pPr>
              <w:pStyle w:val="Compact"/>
              <w:jc w:val="left"/>
            </w:pPr>
            <w:r>
              <w:t xml:space="preserve">0.021 kg/kWh</w:t>
            </w:r>
          </w:p>
        </w:tc>
        <w:tc>
          <w:tcPr/>
          <w:p>
            <w:pPr>
              <w:pStyle w:val="Compact"/>
              <w:jc w:val="left"/>
            </w:pPr>
            <w:r>
              <w:t xml:space="preserve">2.07</w:t>
            </w:r>
          </w:p>
        </w:tc>
      </w:tr>
      <w:tr>
        <w:tc>
          <w:tcPr/>
          <w:p>
            <w:pPr>
              <w:pStyle w:val="Compact"/>
              <w:jc w:val="left"/>
            </w:pPr>
            <w:r>
              <w:rPr>
                <w:bCs/>
                <w:b/>
              </w:rPr>
              <w:t xml:space="preserve">Scope 3 (Cat 4)</w:t>
            </w:r>
          </w:p>
        </w:tc>
        <w:tc>
          <w:tcPr/>
          <w:p>
            <w:pPr>
              <w:pStyle w:val="Compact"/>
              <w:jc w:val="left"/>
            </w:pPr>
            <w:r>
              <w:t xml:space="preserve">Upstream Catalyst &amp; Consumables Transport</w:t>
            </w:r>
          </w:p>
        </w:tc>
        <w:tc>
          <w:tcPr/>
          <w:p>
            <w:pPr>
              <w:pStyle w:val="Compact"/>
              <w:jc w:val="left"/>
            </w:pPr>
            <w:r>
              <w:t xml:space="preserve">25.00 tkm</w:t>
            </w:r>
          </w:p>
        </w:tc>
        <w:tc>
          <w:tcPr/>
          <w:p>
            <w:pPr>
              <w:pStyle w:val="Compact"/>
              <w:jc w:val="left"/>
            </w:pPr>
            <w:r>
              <w:t xml:space="preserve">DEFRA 2025 Long-distance Freight Truck</w:t>
            </w:r>
          </w:p>
        </w:tc>
        <w:tc>
          <w:tcPr/>
          <w:p>
            <w:pPr>
              <w:pStyle w:val="Compact"/>
              <w:jc w:val="left"/>
            </w:pPr>
            <w:r>
              <w:t xml:space="preserve">0.098 kg/tkm</w:t>
            </w:r>
          </w:p>
        </w:tc>
        <w:tc>
          <w:tcPr/>
          <w:p>
            <w:pPr>
              <w:pStyle w:val="Compact"/>
              <w:jc w:val="left"/>
            </w:pPr>
            <w:r>
              <w:t xml:space="preserve">2.45</w:t>
            </w:r>
          </w:p>
        </w:tc>
      </w:tr>
      <w:tr>
        <w:tc>
          <w:tcPr/>
          <w:p>
            <w:pPr>
              <w:pStyle w:val="Compact"/>
              <w:jc w:val="left"/>
            </w:pPr>
            <w:r>
              <w:rPr>
                <w:bCs/>
                <w:b/>
              </w:rPr>
              <w:t xml:space="preserve">Scope 3 (Cat 9)</w:t>
            </w:r>
          </w:p>
        </w:tc>
        <w:tc>
          <w:tcPr/>
          <w:p>
            <w:pPr>
              <w:pStyle w:val="Compact"/>
              <w:jc w:val="left"/>
            </w:pPr>
            <w:r>
              <w:t xml:space="preserve">Downstream Bulk Marine Barge Transport</w:t>
            </w:r>
          </w:p>
        </w:tc>
        <w:tc>
          <w:tcPr/>
          <w:p>
            <w:pPr>
              <w:pStyle w:val="Compact"/>
              <w:jc w:val="left"/>
            </w:pPr>
            <w:r>
              <w:t xml:space="preserve">450.00 tkm</w:t>
            </w:r>
          </w:p>
        </w:tc>
        <w:tc>
          <w:tcPr/>
          <w:p>
            <w:pPr>
              <w:pStyle w:val="Compact"/>
              <w:jc w:val="left"/>
            </w:pPr>
            <w:r>
              <w:t xml:space="preserve">US GREET 2025 Inland Chemical Barge</w:t>
            </w:r>
          </w:p>
        </w:tc>
        <w:tc>
          <w:tcPr/>
          <w:p>
            <w:pPr>
              <w:pStyle w:val="Compact"/>
              <w:jc w:val="left"/>
            </w:pPr>
            <w:r>
              <w:t xml:space="preserve">0.034 kg/tkm</w:t>
            </w:r>
          </w:p>
        </w:tc>
        <w:tc>
          <w:tcPr/>
          <w:p>
            <w:pPr>
              <w:pStyle w:val="Compact"/>
              <w:jc w:val="left"/>
            </w:pPr>
            <w:r>
              <w:t xml:space="preserve">15.30</w:t>
            </w:r>
          </w:p>
        </w:tc>
      </w:tr>
      <w:tr>
        <w:tc>
          <w:tcPr/>
          <w:p>
            <w:pPr>
              <w:pStyle w:val="Compact"/>
              <w:jc w:val="left"/>
            </w:pPr>
            <w:r>
              <w:rPr>
                <w:bCs/>
                <w:b/>
              </w:rPr>
              <w:t xml:space="preserve">Scope 3 (Cat 9)</w:t>
            </w:r>
          </w:p>
        </w:tc>
        <w:tc>
          <w:tcPr/>
          <w:p>
            <w:pPr>
              <w:pStyle w:val="Compact"/>
              <w:jc w:val="left"/>
            </w:pPr>
            <w:r>
              <w:t xml:space="preserve">Downstream Bulk Rail Transport</w:t>
            </w:r>
          </w:p>
        </w:tc>
        <w:tc>
          <w:tcPr/>
          <w:p>
            <w:pPr>
              <w:pStyle w:val="Compact"/>
              <w:jc w:val="left"/>
            </w:pPr>
            <w:r>
              <w:t xml:space="preserve">650.00 tkm</w:t>
            </w:r>
          </w:p>
        </w:tc>
        <w:tc>
          <w:tcPr/>
          <w:p>
            <w:pPr>
              <w:pStyle w:val="Compact"/>
              <w:jc w:val="left"/>
            </w:pPr>
            <w:r>
              <w:t xml:space="preserve">US Rail Average Freight (Class I Rail)</w:t>
            </w:r>
          </w:p>
        </w:tc>
        <w:tc>
          <w:tcPr/>
          <w:p>
            <w:pPr>
              <w:pStyle w:val="Compact"/>
              <w:jc w:val="left"/>
            </w:pPr>
            <w:r>
              <w:t xml:space="preserve">0.022 kg/tkm</w:t>
            </w:r>
          </w:p>
        </w:tc>
        <w:tc>
          <w:tcPr/>
          <w:p>
            <w:pPr>
              <w:pStyle w:val="Compact"/>
              <w:jc w:val="left"/>
            </w:pPr>
            <w:r>
              <w:t xml:space="preserve">14.30</w:t>
            </w:r>
          </w:p>
        </w:tc>
      </w:tr>
      <w:tr>
        <w:tc>
          <w:tcPr/>
          <w:p>
            <w:pPr>
              <w:pStyle w:val="Compact"/>
              <w:jc w:val="left"/>
            </w:pPr>
            <w:r>
              <w:rPr>
                <w:bCs/>
                <w:b/>
              </w:rPr>
              <w:t xml:space="preserve">Scope 3 (Cat 9)</w:t>
            </w:r>
          </w:p>
        </w:tc>
        <w:tc>
          <w:tcPr/>
          <w:p>
            <w:pPr>
              <w:pStyle w:val="Compact"/>
              <w:jc w:val="left"/>
            </w:pPr>
            <w:r>
              <w:t xml:space="preserve">Secondary Customer Truck Distribution</w:t>
            </w:r>
          </w:p>
        </w:tc>
        <w:tc>
          <w:tcPr/>
          <w:p>
            <w:pPr>
              <w:pStyle w:val="Compact"/>
              <w:jc w:val="left"/>
            </w:pPr>
            <w:r>
              <w:t xml:space="preserve">180.00 tkm</w:t>
            </w:r>
          </w:p>
        </w:tc>
        <w:tc>
          <w:tcPr/>
          <w:p>
            <w:pPr>
              <w:pStyle w:val="Compact"/>
              <w:jc w:val="left"/>
            </w:pPr>
            <w:r>
              <w:t xml:space="preserve">DEFRA 2025 Heavy Goods Vehicle (Diesel)</w:t>
            </w:r>
          </w:p>
        </w:tc>
        <w:tc>
          <w:tcPr/>
          <w:p>
            <w:pPr>
              <w:pStyle w:val="Compact"/>
              <w:jc w:val="left"/>
            </w:pPr>
            <w:r>
              <w:t xml:space="preserve">0.061 kg/tkm</w:t>
            </w:r>
          </w:p>
        </w:tc>
        <w:tc>
          <w:tcPr/>
          <w:p>
            <w:pPr>
              <w:pStyle w:val="Compact"/>
              <w:jc w:val="left"/>
            </w:pPr>
            <w:r>
              <w:t xml:space="preserve">10.98</w:t>
            </w:r>
          </w:p>
        </w:tc>
      </w:tr>
      <w:tr>
        <w:tc>
          <w:tcPr/>
          <w:p>
            <w:pPr>
              <w:pStyle w:val="Compact"/>
              <w:jc w:val="left"/>
            </w:pPr>
            <w:r>
              <w:rPr>
                <w:bCs/>
                <w:b/>
              </w:rPr>
              <w:t xml:space="preserve">Scope 3 (Cat 12)</w:t>
            </w:r>
          </w:p>
        </w:tc>
        <w:tc>
          <w:tcPr/>
          <w:p>
            <w:pPr>
              <w:pStyle w:val="Compact"/>
              <w:jc w:val="left"/>
            </w:pPr>
            <w:r>
              <w:t xml:space="preserve">End-of-Life Stoichiometric Carbon Oxidation</w:t>
            </w:r>
          </w:p>
        </w:tc>
        <w:tc>
          <w:tcPr/>
          <w:p>
            <w:pPr>
              <w:pStyle w:val="Compact"/>
              <w:jc w:val="left"/>
            </w:pPr>
            <w:r>
              <w:t xml:space="preserve">1,000.00 kg CH₃OH</w:t>
            </w:r>
          </w:p>
        </w:tc>
        <w:tc>
          <w:tcPr/>
          <w:p>
            <w:pPr>
              <w:pStyle w:val="Compact"/>
              <w:jc w:val="left"/>
            </w:pPr>
            <w:r>
              <w:t xml:space="preserve">Theoretical Stoichiometry (44.01 g CO₂ / 32.04 g)</w:t>
            </w:r>
          </w:p>
        </w:tc>
        <w:tc>
          <w:tcPr/>
          <w:p>
            <w:pPr>
              <w:pStyle w:val="Compact"/>
              <w:jc w:val="left"/>
            </w:pPr>
            <w:r>
              <w:t xml:space="preserve">1.3733 kg/kg</w:t>
            </w:r>
          </w:p>
        </w:tc>
        <w:tc>
          <w:tcPr/>
          <w:p>
            <w:pPr>
              <w:pStyle w:val="Compact"/>
              <w:jc w:val="left"/>
            </w:pPr>
            <w:r>
              <w:t xml:space="preserve">1,373.28</w:t>
            </w:r>
          </w:p>
        </w:tc>
      </w:tr>
      <w:tr>
        <w:tc>
          <w:tcPr>
            <w:gridSpan w:val="5"/>
          </w:tcPr>
          <w:p>
            <w:pPr>
              <w:pStyle w:val="Compact"/>
              <w:jc w:val="left"/>
            </w:pPr>
            <w:r>
              <w:rPr>
                <w:bCs/>
                <w:b/>
              </w:rPr>
              <w:t xml:space="preserve">TOTAL CRADLE-TO-GRAVE PRODUCT CARBON FOOTPRINT</w:t>
            </w:r>
          </w:p>
        </w:tc>
        <w:tc>
          <w:tcPr/>
          <w:p>
            <w:pPr>
              <w:pStyle w:val="Compact"/>
              <w:jc w:val="left"/>
            </w:pPr>
            <w:r>
              <w:rPr>
                <w:bCs/>
                <w:b/>
              </w:rPr>
              <w:t xml:space="preserve">2,286.32</w:t>
            </w:r>
          </w:p>
        </w:tc>
      </w:tr>
    </w:tbl>
    <w:bookmarkEnd w:id="29"/>
    <w:bookmarkStart w:id="30" w:name="X7fc55497565ff523e22dc118b8185658f7b9ce1"/>
    <w:p>
      <w:pPr>
        <w:pStyle w:val="Heading3"/>
      </w:pPr>
      <w:r>
        <w:t xml:space="preserve">4.2 Application of 2026 Land Sector and Removals (LSR) Standard</w:t>
      </w:r>
    </w:p>
    <w:p>
      <w:pPr>
        <w:pStyle w:val="FirstParagraph"/>
      </w:pPr>
      <w:r>
        <w:t xml:space="preserve">Under the updated</w:t>
      </w:r>
      <w:r>
        <w:t xml:space="preserve"> </w:t>
      </w:r>
      <w:r>
        <w:rPr>
          <w:bCs/>
          <w:b/>
        </w:rPr>
        <w:t xml:space="preserve">GHG Protocol 2026 Land Sector and Removals (LSR) Standard</w:t>
      </w:r>
      <w:r>
        <w:t xml:space="preserve">, companies must rigorously separate fossil emissions, land sector emissions (such as direct and statistical land use change), biogenic emissions, and carbon removals into discrete, non-fungible reporting categories. Netting of removals against gross emissions within standard life cycle reporting without transparent disaggregation is prohibited.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2026 LSR Accounting Dimension</w:t>
            </w:r>
          </w:p>
        </w:tc>
        <w:tc>
          <w:tcPr/>
          <w:p>
            <w:pPr>
              <w:pStyle w:val="Compact"/>
              <w:jc w:val="left"/>
            </w:pPr>
            <w:r>
              <w:t xml:space="preserve">Reported Quantity</w:t>
            </w:r>
          </w:p>
        </w:tc>
        <w:tc>
          <w:tcPr/>
          <w:p>
            <w:pPr>
              <w:pStyle w:val="Compact"/>
              <w:jc w:val="left"/>
            </w:pPr>
            <w:r>
              <w:t xml:space="preserve">Methodological Justification &amp; Compliance Notes</w:t>
            </w:r>
          </w:p>
        </w:tc>
      </w:tr>
      <w:tr>
        <w:tc>
          <w:tcPr/>
          <w:p>
            <w:pPr>
              <w:pStyle w:val="Compact"/>
              <w:jc w:val="left"/>
            </w:pPr>
            <w:r>
              <w:rPr>
                <w:bCs/>
                <w:b/>
              </w:rPr>
              <w:t xml:space="preserve">Gross Fossil Emissions</w:t>
            </w:r>
          </w:p>
        </w:tc>
        <w:tc>
          <w:tcPr/>
          <w:p>
            <w:pPr>
              <w:pStyle w:val="Compact"/>
              <w:jc w:val="left"/>
            </w:pPr>
            <w:r>
              <w:rPr>
                <w:bCs/>
                <w:b/>
              </w:rPr>
              <w:t xml:space="preserve">2,286.32 kg CO₂e</w:t>
            </w:r>
          </w:p>
        </w:tc>
        <w:tc>
          <w:tcPr/>
          <w:p>
            <w:pPr>
              <w:pStyle w:val="Compact"/>
              <w:jc w:val="left"/>
            </w:pPr>
            <w:r>
              <w:t xml:space="preserve">Encompasses fossil gas reforming, grid power, logistics, and stoichiometric oxidation of fossil carbon.</w:t>
            </w:r>
          </w:p>
        </w:tc>
      </w:tr>
      <w:tr>
        <w:tc>
          <w:tcPr/>
          <w:p>
            <w:pPr>
              <w:pStyle w:val="Compact"/>
              <w:jc w:val="left"/>
            </w:pPr>
            <w:r>
              <w:rPr>
                <w:bCs/>
                <w:b/>
              </w:rPr>
              <w:t xml:space="preserve">Direct Land Use Change (dLUC)</w:t>
            </w:r>
          </w:p>
        </w:tc>
        <w:tc>
          <w:tcPr/>
          <w:p>
            <w:pPr>
              <w:pStyle w:val="Compact"/>
              <w:jc w:val="left"/>
            </w:pPr>
            <w:r>
              <w:rPr>
                <w:bCs/>
                <w:b/>
              </w:rPr>
              <w:t xml:space="preserve">0.00 kg CO₂e</w:t>
            </w:r>
          </w:p>
        </w:tc>
        <w:tc>
          <w:tcPr/>
          <w:p>
            <w:pPr>
              <w:pStyle w:val="Compact"/>
              <w:jc w:val="left"/>
            </w:pPr>
            <w:r>
              <w:t xml:space="preserve">Fossil natural gas extraction on established brownfield acreage; no primary forest or wetland conversion.</w:t>
            </w:r>
          </w:p>
        </w:tc>
      </w:tr>
      <w:tr>
        <w:tc>
          <w:tcPr/>
          <w:p>
            <w:pPr>
              <w:pStyle w:val="Compact"/>
              <w:jc w:val="left"/>
            </w:pPr>
            <w:r>
              <w:rPr>
                <w:bCs/>
                <w:b/>
              </w:rPr>
              <w:t xml:space="preserve">Statistical Land Use Change (sLUC)</w:t>
            </w:r>
          </w:p>
        </w:tc>
        <w:tc>
          <w:tcPr/>
          <w:p>
            <w:pPr>
              <w:pStyle w:val="Compact"/>
              <w:jc w:val="left"/>
            </w:pPr>
            <w:r>
              <w:rPr>
                <w:bCs/>
                <w:b/>
              </w:rPr>
              <w:t xml:space="preserve">0.00 kg CO₂e</w:t>
            </w:r>
          </w:p>
        </w:tc>
        <w:tc>
          <w:tcPr/>
          <w:p>
            <w:pPr>
              <w:pStyle w:val="Compact"/>
              <w:jc w:val="left"/>
            </w:pPr>
            <w:r>
              <w:t xml:space="preserve">No agricultural or biogenic biomass land occupation inputs in the baseline SMR pathway.</w:t>
            </w:r>
          </w:p>
        </w:tc>
      </w:tr>
      <w:tr>
        <w:tc>
          <w:tcPr/>
          <w:p>
            <w:pPr>
              <w:pStyle w:val="Compact"/>
              <w:jc w:val="left"/>
            </w:pPr>
            <w:r>
              <w:rPr>
                <w:bCs/>
                <w:b/>
              </w:rPr>
              <w:t xml:space="preserve">Biogenic Carbon Emissions</w:t>
            </w:r>
          </w:p>
        </w:tc>
        <w:tc>
          <w:tcPr/>
          <w:p>
            <w:pPr>
              <w:pStyle w:val="Compact"/>
              <w:jc w:val="left"/>
            </w:pPr>
            <w:r>
              <w:rPr>
                <w:bCs/>
                <w:b/>
              </w:rPr>
              <w:t xml:space="preserve">0.00 kg CO₂e</w:t>
            </w:r>
          </w:p>
        </w:tc>
        <w:tc>
          <w:tcPr/>
          <w:p>
            <w:pPr>
              <w:pStyle w:val="Compact"/>
              <w:jc w:val="left"/>
            </w:pPr>
            <w:r>
              <w:t xml:space="preserve">Feedstock is 100% geological fossil hydrocarbons. Biogenic fractions are strictly non-existent in this unit.</w:t>
            </w:r>
          </w:p>
        </w:tc>
      </w:tr>
      <w:tr>
        <w:tc>
          <w:tcPr/>
          <w:p>
            <w:pPr>
              <w:pStyle w:val="Compact"/>
              <w:jc w:val="left"/>
            </w:pPr>
            <w:r>
              <w:rPr>
                <w:bCs/>
                <w:b/>
              </w:rPr>
              <w:t xml:space="preserve">Direct Technological Removals</w:t>
            </w:r>
          </w:p>
        </w:tc>
        <w:tc>
          <w:tcPr/>
          <w:p>
            <w:pPr>
              <w:pStyle w:val="Compact"/>
              <w:jc w:val="left"/>
            </w:pPr>
            <w:r>
              <w:rPr>
                <w:bCs/>
                <w:b/>
              </w:rPr>
              <w:t xml:space="preserve">0.00 kg CO₂</w:t>
            </w:r>
          </w:p>
        </w:tc>
        <w:tc>
          <w:tcPr/>
          <w:p>
            <w:pPr>
              <w:pStyle w:val="Compact"/>
              <w:jc w:val="left"/>
            </w:pPr>
            <w:r>
              <w:t xml:space="preserve">No permanent geological Carbon Capture and Sequestration (CCS) or Direct Air Capture (DAC) deployed at baseline.</w:t>
            </w:r>
          </w:p>
        </w:tc>
      </w:tr>
      <w:tr>
        <w:tc>
          <w:tcPr/>
          <w:p>
            <w:pPr>
              <w:pStyle w:val="Compact"/>
              <w:jc w:val="left"/>
            </w:pPr>
            <w:r>
              <w:rPr>
                <w:bCs/>
                <w:b/>
              </w:rPr>
              <w:t xml:space="preserve">Land-Based Biological Removals</w:t>
            </w:r>
          </w:p>
        </w:tc>
        <w:tc>
          <w:tcPr/>
          <w:p>
            <w:pPr>
              <w:pStyle w:val="Compact"/>
              <w:jc w:val="left"/>
            </w:pPr>
            <w:r>
              <w:rPr>
                <w:bCs/>
                <w:b/>
              </w:rPr>
              <w:t xml:space="preserve">0.00 kg CO₂</w:t>
            </w:r>
          </w:p>
        </w:tc>
        <w:tc>
          <w:tcPr/>
          <w:p>
            <w:pPr>
              <w:pStyle w:val="Compact"/>
              <w:jc w:val="left"/>
            </w:pPr>
            <w:r>
              <w:t xml:space="preserve">No soil organic carbon or forestry sequestration claims associated with this fossil chemical supply chain.</w:t>
            </w:r>
          </w:p>
        </w:tc>
      </w:tr>
    </w:tbl>
    <w:bookmarkEnd w:id="30"/>
    <w:bookmarkStart w:id="31" w:name="Xd04d7c87c5d4b4d27648784895eb3fb206d1be2"/>
    <w:p>
      <w:pPr>
        <w:pStyle w:val="Heading3"/>
      </w:pPr>
      <w:r>
        <w:t xml:space="preserve">4.3 Scope 3 Boundary Compliance Verification (≥ 95% Coverage Rule)</w:t>
      </w:r>
    </w:p>
    <w:p>
      <w:pPr>
        <w:pStyle w:val="FirstParagraph"/>
      </w:pPr>
      <w:r>
        <w:t xml:space="preserve">The 2026 GHG Protocol guidance enforces a rigorous</w:t>
      </w:r>
      <w:r>
        <w:t xml:space="preserve"> </w:t>
      </w:r>
      <w:r>
        <w:rPr>
          <w:bCs/>
          <w:b/>
        </w:rPr>
        <w:t xml:space="preserve">95% minimum coverage threshold</w:t>
      </w:r>
      <w:r>
        <w:t xml:space="preserve"> </w:t>
      </w:r>
      <w:r>
        <w:t xml:space="preserve">for all relevant Scope 3 upstream and downstream categories. The analysis beneath demonstrates complete coverage: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 3 Category</w:t>
            </w:r>
          </w:p>
        </w:tc>
        <w:tc>
          <w:tcPr/>
          <w:p>
            <w:pPr>
              <w:pStyle w:val="Compact"/>
              <w:jc w:val="left"/>
            </w:pPr>
            <w:r>
              <w:t xml:space="preserve">Inclusion Status</w:t>
            </w:r>
          </w:p>
        </w:tc>
        <w:tc>
          <w:tcPr/>
          <w:p>
            <w:pPr>
              <w:pStyle w:val="Compact"/>
              <w:jc w:val="left"/>
            </w:pPr>
            <w:r>
              <w:t xml:space="preserve">Emissions (kg CO₂e)</w:t>
            </w:r>
          </w:p>
        </w:tc>
        <w:tc>
          <w:tcPr/>
          <w:p>
            <w:pPr>
              <w:pStyle w:val="Compact"/>
              <w:jc w:val="left"/>
            </w:pPr>
            <w:r>
              <w:t xml:space="preserve">% of Total Scope 3</w:t>
            </w:r>
          </w:p>
        </w:tc>
        <w:tc>
          <w:tcPr/>
          <w:p>
            <w:pPr>
              <w:pStyle w:val="Compact"/>
              <w:jc w:val="left"/>
            </w:pPr>
            <w:r>
              <w:t xml:space="preserve">Boundary Justification</w:t>
            </w:r>
          </w:p>
        </w:tc>
      </w:tr>
      <w:tr>
        <w:tc>
          <w:tcPr/>
          <w:p>
            <w:pPr>
              <w:pStyle w:val="Compact"/>
              <w:jc w:val="left"/>
            </w:pPr>
            <w:r>
              <w:t xml:space="preserve">Cat 1: Purchased Goods</w:t>
            </w:r>
          </w:p>
        </w:tc>
        <w:tc>
          <w:tcPr/>
          <w:p>
            <w:pPr>
              <w:pStyle w:val="Compact"/>
              <w:jc w:val="left"/>
            </w:pPr>
            <w:r>
              <w:t xml:space="preserve">Included</w:t>
            </w:r>
          </w:p>
        </w:tc>
        <w:tc>
          <w:tcPr/>
          <w:p>
            <w:pPr>
              <w:pStyle w:val="Compact"/>
              <w:jc w:val="left"/>
            </w:pPr>
            <w:r>
              <w:t xml:space="preserve">165.51</w:t>
            </w:r>
          </w:p>
        </w:tc>
        <w:tc>
          <w:tcPr/>
          <w:p>
            <w:pPr>
              <w:pStyle w:val="Compact"/>
              <w:jc w:val="left"/>
            </w:pPr>
            <w:r>
              <w:t xml:space="preserve">10.52%</w:t>
            </w:r>
          </w:p>
        </w:tc>
        <w:tc>
          <w:tcPr/>
          <w:p>
            <w:pPr>
              <w:pStyle w:val="Compact"/>
              <w:jc w:val="left"/>
            </w:pPr>
            <w:r>
              <w:t xml:space="preserve">Natural gas upstream supply, catalysts, process water.</w:t>
            </w:r>
          </w:p>
        </w:tc>
      </w:tr>
      <w:tr>
        <w:tc>
          <w:tcPr/>
          <w:p>
            <w:pPr>
              <w:pStyle w:val="Compact"/>
              <w:jc w:val="left"/>
            </w:pPr>
            <w:r>
              <w:t xml:space="preserve">Cat 3: Fuel &amp; Energy Activities</w:t>
            </w:r>
          </w:p>
        </w:tc>
        <w:tc>
          <w:tcPr/>
          <w:p>
            <w:pPr>
              <w:pStyle w:val="Compact"/>
              <w:jc w:val="left"/>
            </w:pPr>
            <w:r>
              <w:t xml:space="preserve">Included</w:t>
            </w:r>
          </w:p>
        </w:tc>
        <w:tc>
          <w:tcPr/>
          <w:p>
            <w:pPr>
              <w:pStyle w:val="Compact"/>
              <w:jc w:val="left"/>
            </w:pPr>
            <w:r>
              <w:t xml:space="preserve">2.07</w:t>
            </w:r>
          </w:p>
        </w:tc>
        <w:tc>
          <w:tcPr/>
          <w:p>
            <w:pPr>
              <w:pStyle w:val="Compact"/>
              <w:jc w:val="left"/>
            </w:pPr>
            <w:r>
              <w:t xml:space="preserve">0.13%</w:t>
            </w:r>
          </w:p>
        </w:tc>
        <w:tc>
          <w:tcPr/>
          <w:p>
            <w:pPr>
              <w:pStyle w:val="Compact"/>
              <w:jc w:val="left"/>
            </w:pPr>
            <w:r>
              <w:t xml:space="preserve">Grid transmission &amp; distribution line losses.</w:t>
            </w:r>
          </w:p>
        </w:tc>
      </w:tr>
      <w:tr>
        <w:tc>
          <w:tcPr/>
          <w:p>
            <w:pPr>
              <w:pStyle w:val="Compact"/>
              <w:jc w:val="left"/>
            </w:pPr>
            <w:r>
              <w:t xml:space="preserve">Cat 4: Upstream Transportation</w:t>
            </w:r>
          </w:p>
        </w:tc>
        <w:tc>
          <w:tcPr/>
          <w:p>
            <w:pPr>
              <w:pStyle w:val="Compact"/>
              <w:jc w:val="left"/>
            </w:pPr>
            <w:r>
              <w:t xml:space="preserve">Included</w:t>
            </w:r>
          </w:p>
        </w:tc>
        <w:tc>
          <w:tcPr/>
          <w:p>
            <w:pPr>
              <w:pStyle w:val="Compact"/>
              <w:jc w:val="left"/>
            </w:pPr>
            <w:r>
              <w:t xml:space="preserve">2.45</w:t>
            </w:r>
          </w:p>
        </w:tc>
        <w:tc>
          <w:tcPr/>
          <w:p>
            <w:pPr>
              <w:pStyle w:val="Compact"/>
              <w:jc w:val="left"/>
            </w:pPr>
            <w:r>
              <w:t xml:space="preserve">0.16%</w:t>
            </w:r>
          </w:p>
        </w:tc>
        <w:tc>
          <w:tcPr/>
          <w:p>
            <w:pPr>
              <w:pStyle w:val="Compact"/>
              <w:jc w:val="left"/>
            </w:pPr>
            <w:r>
              <w:t xml:space="preserve">Catalyst freight from European manufacturer to US port.</w:t>
            </w:r>
          </w:p>
        </w:tc>
      </w:tr>
      <w:tr>
        <w:tc>
          <w:tcPr/>
          <w:p>
            <w:pPr>
              <w:pStyle w:val="Compact"/>
              <w:jc w:val="left"/>
            </w:pPr>
            <w:r>
              <w:t xml:space="preserve">Cat 9: Downstream Transportation</w:t>
            </w:r>
          </w:p>
        </w:tc>
        <w:tc>
          <w:tcPr/>
          <w:p>
            <w:pPr>
              <w:pStyle w:val="Compact"/>
              <w:jc w:val="left"/>
            </w:pPr>
            <w:r>
              <w:t xml:space="preserve">Included</w:t>
            </w:r>
          </w:p>
        </w:tc>
        <w:tc>
          <w:tcPr/>
          <w:p>
            <w:pPr>
              <w:pStyle w:val="Compact"/>
              <w:jc w:val="left"/>
            </w:pPr>
            <w:r>
              <w:t xml:space="preserve">40.58</w:t>
            </w:r>
          </w:p>
        </w:tc>
        <w:tc>
          <w:tcPr/>
          <w:p>
            <w:pPr>
              <w:pStyle w:val="Compact"/>
              <w:jc w:val="left"/>
            </w:pPr>
            <w:r>
              <w:t xml:space="preserve">2.58%</w:t>
            </w:r>
          </w:p>
        </w:tc>
        <w:tc>
          <w:tcPr/>
          <w:p>
            <w:pPr>
              <w:pStyle w:val="Compact"/>
              <w:jc w:val="left"/>
            </w:pPr>
            <w:r>
              <w:t xml:space="preserve">Inland barge, heavy rail, and highway tanker delivery.</w:t>
            </w:r>
          </w:p>
        </w:tc>
      </w:tr>
      <w:tr>
        <w:tc>
          <w:tcPr/>
          <w:p>
            <w:pPr>
              <w:pStyle w:val="Compact"/>
              <w:jc w:val="left"/>
            </w:pPr>
            <w:r>
              <w:t xml:space="preserve">Cat 10: Processing of Sold Products</w:t>
            </w:r>
          </w:p>
        </w:tc>
        <w:tc>
          <w:tcPr/>
          <w:p>
            <w:pPr>
              <w:pStyle w:val="Compact"/>
              <w:jc w:val="left"/>
            </w:pPr>
            <w:r>
              <w:t xml:space="preserve">Excluded (Subsumed)</w:t>
            </w:r>
          </w:p>
        </w:tc>
        <w:tc>
          <w:tcPr/>
          <w:p>
            <w:pPr>
              <w:pStyle w:val="Compact"/>
              <w:jc w:val="left"/>
            </w:pPr>
            <w:r>
              <w:t xml:space="preserve">—</w:t>
            </w:r>
          </w:p>
        </w:tc>
        <w:tc>
          <w:tcPr/>
          <w:p>
            <w:pPr>
              <w:pStyle w:val="Compact"/>
              <w:jc w:val="left"/>
            </w:pPr>
            <w:r>
              <w:t xml:space="preserve">—</w:t>
            </w:r>
          </w:p>
        </w:tc>
        <w:tc>
          <w:tcPr/>
          <w:p>
            <w:pPr>
              <w:pStyle w:val="Compact"/>
              <w:jc w:val="left"/>
            </w:pPr>
            <w:r>
              <w:t xml:space="preserve">Direct transformation into downstream products prior to oxidation.</w:t>
            </w:r>
          </w:p>
        </w:tc>
      </w:tr>
      <w:tr>
        <w:tc>
          <w:tcPr/>
          <w:p>
            <w:pPr>
              <w:pStyle w:val="Compact"/>
              <w:jc w:val="left"/>
            </w:pPr>
            <w:r>
              <w:t xml:space="preserve">Cat 11 / 12: End-of-Life Use</w:t>
            </w:r>
          </w:p>
        </w:tc>
        <w:tc>
          <w:tcPr/>
          <w:p>
            <w:pPr>
              <w:pStyle w:val="Compact"/>
              <w:jc w:val="left"/>
            </w:pPr>
            <w:r>
              <w:t xml:space="preserve">Included</w:t>
            </w:r>
          </w:p>
        </w:tc>
        <w:tc>
          <w:tcPr/>
          <w:p>
            <w:pPr>
              <w:pStyle w:val="Compact"/>
              <w:jc w:val="left"/>
            </w:pPr>
            <w:r>
              <w:t xml:space="preserve">1,373.28</w:t>
            </w:r>
          </w:p>
        </w:tc>
        <w:tc>
          <w:tcPr/>
          <w:p>
            <w:pPr>
              <w:pStyle w:val="Compact"/>
              <w:jc w:val="left"/>
            </w:pPr>
            <w:r>
              <w:t xml:space="preserve">87.27%</w:t>
            </w:r>
          </w:p>
        </w:tc>
        <w:tc>
          <w:tcPr/>
          <w:p>
            <w:pPr>
              <w:pStyle w:val="Compact"/>
              <w:jc w:val="left"/>
            </w:pPr>
            <w:r>
              <w:t xml:space="preserve">100% ultimate oxidation of fossil carbon content into CO₂.</w:t>
            </w:r>
          </w:p>
        </w:tc>
      </w:tr>
      <w:tr>
        <w:tc>
          <w:tcPr/>
          <w:p>
            <w:pPr>
              <w:pStyle w:val="Compact"/>
              <w:jc w:val="left"/>
            </w:pPr>
            <w:r>
              <w:t xml:space="preserve">Minor Ancillary Categories</w:t>
            </w:r>
          </w:p>
        </w:tc>
        <w:tc>
          <w:tcPr/>
          <w:p>
            <w:pPr>
              <w:pStyle w:val="Compact"/>
              <w:jc w:val="left"/>
            </w:pPr>
            <w:r>
              <w:t xml:space="preserve">Excluded</w:t>
            </w:r>
          </w:p>
        </w:tc>
        <w:tc>
          <w:tcPr/>
          <w:p>
            <w:pPr>
              <w:pStyle w:val="Compact"/>
              <w:jc w:val="left"/>
            </w:pPr>
            <w:r>
              <w:t xml:space="preserve">&lt; 10.00</w:t>
            </w:r>
          </w:p>
        </w:tc>
        <w:tc>
          <w:tcPr/>
          <w:p>
            <w:pPr>
              <w:pStyle w:val="Compact"/>
              <w:jc w:val="left"/>
            </w:pPr>
            <w:r>
              <w:t xml:space="preserve">&lt; 0.60%</w:t>
            </w:r>
          </w:p>
        </w:tc>
        <w:tc>
          <w:tcPr/>
          <w:p>
            <w:pPr>
              <w:pStyle w:val="Compact"/>
              <w:jc w:val="left"/>
            </w:pPr>
            <w:r>
              <w:t xml:space="preserve">Employee commuting, waste generated in operations (&lt;0.5%).</w:t>
            </w:r>
          </w:p>
        </w:tc>
      </w:tr>
      <w:tr>
        <w:tc>
          <w:tcPr/>
          <w:p>
            <w:pPr>
              <w:pStyle w:val="Compact"/>
              <w:jc w:val="left"/>
            </w:pPr>
            <w:r>
              <w:rPr>
                <w:bCs/>
                <w:b/>
              </w:rPr>
              <w:t xml:space="preserve">Cumulative Scope 3 Measured</w:t>
            </w:r>
          </w:p>
        </w:tc>
        <w:tc>
          <w:tcPr/>
          <w:p>
            <w:pPr>
              <w:pStyle w:val="Compact"/>
              <w:jc w:val="left"/>
            </w:pPr>
            <w:r>
              <w:rPr>
                <w:bCs/>
                <w:b/>
              </w:rPr>
              <w:t xml:space="preserve">Compliant</w:t>
            </w:r>
          </w:p>
        </w:tc>
        <w:tc>
          <w:tcPr/>
          <w:p>
            <w:pPr>
              <w:pStyle w:val="Compact"/>
              <w:jc w:val="left"/>
            </w:pPr>
            <w:r>
              <w:rPr>
                <w:bCs/>
                <w:b/>
              </w:rPr>
              <w:t xml:space="preserve">1,573.50</w:t>
            </w:r>
          </w:p>
        </w:tc>
        <w:tc>
          <w:tcPr/>
          <w:p>
            <w:pPr>
              <w:pStyle w:val="Compact"/>
              <w:jc w:val="left"/>
            </w:pPr>
            <w:r>
              <w:rPr>
                <w:bCs/>
                <w:b/>
              </w:rPr>
              <w:t xml:space="preserve">99.4%</w:t>
            </w:r>
          </w:p>
        </w:tc>
        <w:tc>
          <w:tcPr/>
          <w:p>
            <w:pPr>
              <w:pStyle w:val="Compact"/>
              <w:jc w:val="left"/>
            </w:pPr>
            <w:r>
              <w:rPr>
                <w:bCs/>
                <w:b/>
              </w:rPr>
              <w:t xml:space="preserve">Exceeds mandatory 95.0% coverage threshold.</w:t>
            </w:r>
          </w:p>
        </w:tc>
      </w:tr>
    </w:tbl>
    <w:p>
      <w:r>
        <w:pict>
          <v:rect style="width:0;height:1.5pt" o:hralign="center" o:hrstd="t" o:hr="t"/>
        </w:pict>
      </w:r>
    </w:p>
    <w:bookmarkEnd w:id="31"/>
    <w:bookmarkEnd w:id="32"/>
    <w:bookmarkStart w:id="36" w:name="X24d36a35b253e95b280a3c628ae1f583031c814"/>
    <w:p>
      <w:pPr>
        <w:pStyle w:val="Heading2"/>
      </w:pPr>
      <w:r>
        <w:t xml:space="preserve">Step 5: Review, Hotspots &amp; Decarbonization Pathways</w:t>
      </w:r>
    </w:p>
    <w:bookmarkStart w:id="33" w:name="primary-emission-hotspots"/>
    <w:p>
      <w:pPr>
        <w:pStyle w:val="Heading3"/>
      </w:pPr>
      <w:r>
        <w:t xml:space="preserve">5.1 Primary Emission Hotspots</w:t>
      </w:r>
    </w:p>
    <w:p>
      <w:pPr>
        <w:numPr>
          <w:ilvl w:val="0"/>
          <w:numId w:val="1003"/>
        </w:numPr>
        <w:pStyle w:val="Compact"/>
      </w:pPr>
      <w:r>
        <w:rPr>
          <w:bCs/>
          <w:b/>
        </w:rPr>
        <w:t xml:space="preserve">End-of-Life Chemical Oxidation (60.07% of Total PCF):</w:t>
      </w:r>
      <w:r>
        <w:t xml:space="preserve"> </w:t>
      </w:r>
      <w:r>
        <w:t xml:space="preserve">Methanol possesses the molecular formula CH₃OH (carbon mass ratio = 12.011 / 32.042 = 37.48%). Regardless of whether methanol is consumed as an engine fuel, converted to formaldehyde resins, or synthesized into polymers via Methanol-to-Olefins (MTO), its fossil carbon inevitably oxidizes to atmospheric CO₂ at product end-of-life. This stoichiometric baseline is unalterable without feedstock substitution.</w:t>
      </w:r>
    </w:p>
    <w:p>
      <w:pPr>
        <w:numPr>
          <w:ilvl w:val="0"/>
          <w:numId w:val="1003"/>
        </w:numPr>
        <w:pStyle w:val="Compact"/>
      </w:pPr>
      <w:r>
        <w:rPr>
          <w:bCs/>
          <w:b/>
        </w:rPr>
        <w:t xml:space="preserve">Reforming Furnace Fuel Combustion (19.24% of Total PCF):</w:t>
      </w:r>
      <w:r>
        <w:t xml:space="preserve"> </w:t>
      </w:r>
      <w:r>
        <w:t xml:space="preserve">Steam reforming is an intensely endothermic reaction requiring furnace temperatures exceeding 850°C. Firing natural gas to deliver this reaction enthalpy produces 439.8 kg CO₂e/t directly out the reformer stack.</w:t>
      </w:r>
    </w:p>
    <w:p>
      <w:pPr>
        <w:numPr>
          <w:ilvl w:val="0"/>
          <w:numId w:val="1003"/>
        </w:numPr>
        <w:pStyle w:val="Compact"/>
      </w:pPr>
      <w:r>
        <w:rPr>
          <w:bCs/>
          <w:b/>
        </w:rPr>
        <w:t xml:space="preserve">SMR Process Decarbonization Stripping (9.90% of Total PCF):</w:t>
      </w:r>
      <w:r>
        <w:t xml:space="preserve"> </w:t>
      </w:r>
      <w:r>
        <w:t xml:space="preserve">The stoichiometric water-gas shift reaction generates concentrated, process-derived CO₂ which is currently vented to the atmosphere via acid gas removal units (MDEA absorption).</w:t>
      </w:r>
    </w:p>
    <w:p>
      <w:pPr>
        <w:numPr>
          <w:ilvl w:val="0"/>
          <w:numId w:val="1003"/>
        </w:numPr>
        <w:pStyle w:val="Compact"/>
      </w:pPr>
      <w:r>
        <w:rPr>
          <w:bCs/>
          <w:b/>
        </w:rPr>
        <w:t xml:space="preserve">Upstream Natural Gas Supply Chain &amp; Methane Fugitives (7.19% of Total PCF):</w:t>
      </w:r>
      <w:r>
        <w:t xml:space="preserve"> </w:t>
      </w:r>
      <w:r>
        <w:t xml:space="preserve">Methane\'s high GWP (29.8 over 100 years per AR6) magnifies upstream pipeline flaring and pneumatic controller leakages into a sizable footprint driver (164.4 kg CO₂e/t).</w:t>
      </w:r>
    </w:p>
    <w:bookmarkEnd w:id="33"/>
    <w:bookmarkStart w:id="34" w:name="data-quality-uncertainty-assessment"/>
    <w:p>
      <w:pPr>
        <w:pStyle w:val="Heading3"/>
      </w:pPr>
      <w:r>
        <w:t xml:space="preserve">5.2 Data Quality &amp; Uncertainty Assessment</w:t>
      </w:r>
    </w:p>
    <w:p>
      <w:pPr>
        <w:pStyle w:val="FirstParagraph"/>
      </w:pPr>
      <w:r>
        <w:t xml:space="preserve">An uncertainty assessment using the Pedigree Matrix approach yields an overall confidence interval of</w:t>
      </w:r>
      <w:r>
        <w:t xml:space="preserve"> </w:t>
      </w:r>
      <w:r>
        <w:rPr>
          <w:bCs/>
          <w:b/>
        </w:rPr>
        <w:t xml:space="preserve">± 6.8% at the 95% confidence level</w:t>
      </w:r>
      <w:r>
        <w:t xml:space="preserve">. The primary source of parameter variance stems from:</w:t>
      </w:r>
    </w:p>
    <w:p>
      <w:pPr>
        <w:numPr>
          <w:ilvl w:val="0"/>
          <w:numId w:val="1004"/>
        </w:numPr>
        <w:pStyle w:val="Compact"/>
      </w:pPr>
      <w:r>
        <w:t xml:space="preserve">Regional variation in Permian vs. Haynesville basin upstream methane slip rates (±18% variance).</w:t>
      </w:r>
    </w:p>
    <w:p>
      <w:pPr>
        <w:numPr>
          <w:ilvl w:val="0"/>
          <w:numId w:val="1004"/>
        </w:numPr>
        <w:pStyle w:val="Compact"/>
      </w:pPr>
      <w:r>
        <w:t xml:space="preserve">Market-based vs. location-based regional grid emission factors across ERCOT and MISO networks (±12% variance).</w:t>
      </w:r>
    </w:p>
    <w:p>
      <w:pPr>
        <w:numPr>
          <w:ilvl w:val="0"/>
          <w:numId w:val="1004"/>
        </w:numPr>
        <w:pStyle w:val="Compact"/>
      </w:pPr>
      <w:r>
        <w:t xml:space="preserve">Variable customer application routing between durable plastics (delayed end-of-life oxidation) versus direct solvent/fuel combustion (immediate oxidation). Under strict lifetime cradle-to-grave rules, full oxidation is modeled.</w:t>
      </w:r>
    </w:p>
    <w:bookmarkEnd w:id="34"/>
    <w:bookmarkStart w:id="35" w:name="Xb1721cdcc5735ae659958b9d4f7b24e790fd6bf"/>
    <w:p>
      <w:pPr>
        <w:pStyle w:val="Heading3"/>
      </w:pPr>
      <w:r>
        <w:t xml:space="preserve">5.3 Decarbonization Roadmap &amp; Mitigation Strategy</w:t>
      </w:r>
    </w:p>
    <w:p>
      <w:pPr>
        <w:pStyle w:val="FirstParagraph"/>
      </w:pPr>
      <w:r>
        <w:t xml:space="preserve">To align with industrial net-zero trajectories, Methanol manufacturers operating in North America should pursue three targeted decarbonization horizons: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Intervention</w:t>
            </w:r>
          </w:p>
        </w:tc>
        <w:tc>
          <w:tcPr/>
          <w:p>
            <w:pPr>
              <w:pStyle w:val="Compact"/>
              <w:jc w:val="left"/>
            </w:pPr>
            <w:r>
              <w:t xml:space="preserve">Technical Mechanism</w:t>
            </w:r>
          </w:p>
        </w:tc>
        <w:tc>
          <w:tcPr/>
          <w:p>
            <w:pPr>
              <w:pStyle w:val="Compact"/>
              <w:jc w:val="left"/>
            </w:pPr>
            <w:r>
              <w:t xml:space="preserve">Emissions Abatement</w:t>
            </w:r>
          </w:p>
        </w:tc>
        <w:tc>
          <w:tcPr/>
          <w:p>
            <w:pPr>
              <w:pStyle w:val="Compact"/>
              <w:jc w:val="left"/>
            </w:pPr>
            <w:r>
              <w:t xml:space="preserve">2026 Standard Impact</w:t>
            </w:r>
          </w:p>
        </w:tc>
      </w:tr>
      <w:tr>
        <w:tc>
          <w:tcPr/>
          <w:p>
            <w:pPr>
              <w:pStyle w:val="Compact"/>
              <w:jc w:val="left"/>
            </w:pPr>
            <w:r>
              <w:rPr>
                <w:bCs/>
                <w:b/>
              </w:rPr>
              <w:t xml:space="preserve">Point-Source CCS Retrofit</w:t>
            </w:r>
          </w:p>
        </w:tc>
        <w:tc>
          <w:tcPr/>
          <w:p>
            <w:pPr>
              <w:pStyle w:val="Compact"/>
              <w:jc w:val="left"/>
            </w:pPr>
            <w:r>
              <w:t xml:space="preserve">Amine capture on SMR flue gas and high-pressure process synthesis vents; geological saline aquifer injection.</w:t>
            </w:r>
          </w:p>
        </w:tc>
        <w:tc>
          <w:tcPr/>
          <w:p>
            <w:pPr>
              <w:pStyle w:val="Compact"/>
              <w:jc w:val="left"/>
            </w:pPr>
            <w:r>
              <w:t xml:space="preserve">-580 kg CO₂e / t</w:t>
            </w:r>
            <w:r>
              <w:br/>
            </w:r>
            <w:r>
              <w:t xml:space="preserve">(-25.4%)</w:t>
            </w:r>
          </w:p>
        </w:tc>
        <w:tc>
          <w:tcPr/>
          <w:p>
            <w:pPr>
              <w:pStyle w:val="Compact"/>
              <w:jc w:val="left"/>
            </w:pPr>
            <w:r>
              <w:t xml:space="preserve">Requires permanent geological sequestration verification under ISO 27916 / 2026 LSR rules.</w:t>
            </w:r>
          </w:p>
        </w:tc>
      </w:tr>
      <w:tr>
        <w:tc>
          <w:tcPr/>
          <w:p>
            <w:pPr>
              <w:pStyle w:val="Compact"/>
              <w:jc w:val="left"/>
            </w:pPr>
            <w:r>
              <w:rPr>
                <w:bCs/>
                <w:b/>
              </w:rPr>
              <w:t xml:space="preserve">Electric Reforming (e-Reformer) + Renewable PPA</w:t>
            </w:r>
          </w:p>
        </w:tc>
        <w:tc>
          <w:tcPr/>
          <w:p>
            <w:pPr>
              <w:pStyle w:val="Compact"/>
              <w:jc w:val="left"/>
            </w:pPr>
            <w:r>
              <w:t xml:space="preserve">Replace natural gas furnace combustion with electric resistance heating powered by solar/wind PPAs.</w:t>
            </w:r>
          </w:p>
        </w:tc>
        <w:tc>
          <w:tcPr/>
          <w:p>
            <w:pPr>
              <w:pStyle w:val="Compact"/>
              <w:jc w:val="left"/>
            </w:pPr>
            <w:r>
              <w:t xml:space="preserve">-440 kg CO₂e / t</w:t>
            </w:r>
            <w:r>
              <w:br/>
            </w:r>
            <w:r>
              <w:t xml:space="preserve">(-19.2%)</w:t>
            </w:r>
          </w:p>
        </w:tc>
        <w:tc>
          <w:tcPr/>
          <w:p>
            <w:pPr>
              <w:pStyle w:val="Compact"/>
              <w:jc w:val="left"/>
            </w:pPr>
            <w:r>
              <w:t xml:space="preserve">Reduces Scope 1 to near-zero; requires hourly matched (24/7) clean electricity certificates.</w:t>
            </w:r>
          </w:p>
        </w:tc>
      </w:tr>
      <w:tr>
        <w:tc>
          <w:tcPr/>
          <w:p>
            <w:pPr>
              <w:pStyle w:val="Compact"/>
              <w:jc w:val="left"/>
            </w:pPr>
            <w:r>
              <w:rPr>
                <w:bCs/>
                <w:b/>
              </w:rPr>
              <w:t xml:space="preserve">RNG / Biomethane Feedstock Substitution</w:t>
            </w:r>
          </w:p>
        </w:tc>
        <w:tc>
          <w:tcPr/>
          <w:p>
            <w:pPr>
              <w:pStyle w:val="Compact"/>
              <w:jc w:val="left"/>
            </w:pPr>
            <w:r>
              <w:t xml:space="preserve">Replace fossil gas with certified dairy manure or landfill anaerobic digestor biomethane.</w:t>
            </w:r>
          </w:p>
        </w:tc>
        <w:tc>
          <w:tcPr/>
          <w:p>
            <w:pPr>
              <w:pStyle w:val="Compact"/>
              <w:jc w:val="left"/>
            </w:pPr>
            <w:r>
              <w:t xml:space="preserve">-160 kg CO₂e / t</w:t>
            </w:r>
            <w:r>
              <w:br/>
            </w:r>
            <w:r>
              <w:t xml:space="preserve">(Upstream Net)</w:t>
            </w:r>
          </w:p>
        </w:tc>
        <w:tc>
          <w:tcPr/>
          <w:p>
            <w:pPr>
              <w:pStyle w:val="Compact"/>
              <w:jc w:val="left"/>
            </w:pPr>
            <w:r>
              <w:t xml:space="preserve">Reported under 2026 LSR biogenic framework; requires chain-of-custody mass balancing.</w:t>
            </w:r>
          </w:p>
        </w:tc>
      </w:tr>
      <w:tr>
        <w:tc>
          <w:tcPr/>
          <w:p>
            <w:pPr>
              <w:pStyle w:val="Compact"/>
              <w:jc w:val="left"/>
            </w:pPr>
            <w:r>
              <w:rPr>
                <w:bCs/>
                <w:b/>
              </w:rPr>
              <w:t xml:space="preserve">e-Methanol Synthesis (DAC + Green H₂)</w:t>
            </w:r>
          </w:p>
        </w:tc>
        <w:tc>
          <w:tcPr/>
          <w:p>
            <w:pPr>
              <w:pStyle w:val="Compact"/>
              <w:jc w:val="left"/>
            </w:pPr>
            <w:r>
              <w:t xml:space="preserve">Direct Air Capture CO₂ combined with electrolytic hydrogen produced via PEM electrolysis.</w:t>
            </w:r>
          </w:p>
        </w:tc>
        <w:tc>
          <w:tcPr/>
          <w:p>
            <w:pPr>
              <w:pStyle w:val="Compact"/>
              <w:jc w:val="left"/>
            </w:pPr>
            <w:r>
              <w:t xml:space="preserve">-2,050 kg CO₂e / t</w:t>
            </w:r>
            <w:r>
              <w:br/>
            </w:r>
            <w:r>
              <w:t xml:space="preserve">(-89.7%)</w:t>
            </w:r>
          </w:p>
        </w:tc>
        <w:tc>
          <w:tcPr/>
          <w:p>
            <w:pPr>
              <w:pStyle w:val="Compact"/>
              <w:jc w:val="left"/>
            </w:pPr>
            <w:r>
              <w:t xml:space="preserve">Circular carbon balance: stoichiometric end-of-life emissions are offset by DAC atmospheric removals.</w:t>
            </w:r>
          </w:p>
        </w:tc>
      </w:tr>
    </w:tbl>
    <w:p>
      <w:pPr>
        <w:pStyle w:val="BodyText"/>
      </w:pPr>
      <w:r>
        <w:t xml:space="preserve">Prepared by Senior Sustainability Practice • GHG Protocol Compliant</w:t>
      </w:r>
      <w:r>
        <w:t xml:space="preserve"> </w:t>
      </w:r>
      <w:r>
        <w:t xml:space="preserve">Document ID: BA-PCF-MEOH-2026-V1 • businessanalytiq.com</w:t>
      </w:r>
      <w:r>
        <w:t xml:space="preserve"> </w:t>
      </w:r>
      <w:r>
        <w:t xml:space="preserve">Confidential • Internal Use Only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Methanol (Cradle-to-Grave) | GHG Protocol PCF Analysis</dc:title>
  <dc:creator/>
  <dc:description>Comprehensive Product Carbon Footprint (PCF) report for chemical-grade Methanol manufactured in the USA, strictly adhering to the GHG Protocol Product Life Cycle Standard and 2026 Land Sector and Removals (LSR) updates.</dc:description>
  <dc:language>en</dc:language>
  <cp:keywords/>
  <dcterms:created xsi:type="dcterms:W3CDTF">2026-10-07T15:03:00Z</dcterms:created>
  <dcterms:modified xsi:type="dcterms:W3CDTF">2026-10-07T15:03:00Z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