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Metformin</w:t>
      </w:r>
      <w:r>
        <w:t xml:space="preserve"> </w:t>
      </w:r>
      <w:r>
        <w:t xml:space="preserve">Hydrochloride</w:t>
      </w:r>
      <w:r>
        <w:t xml:space="preserve"> </w:t>
      </w:r>
      <w:r>
        <w:t xml:space="preserve">API</w:t>
      </w:r>
      <w:r>
        <w:t xml:space="preserve"> </w:t>
      </w:r>
      <w:r>
        <w:t xml:space="preserve">(1.0</w:t>
      </w:r>
      <w:r>
        <w:t xml:space="preserve"> </w:t>
      </w:r>
      <w:r>
        <w:t xml:space="preserve">kg)</w:t>
      </w:r>
    </w:p>
    <w:p>
      <w:pPr>
        <w:pStyle w:val="FirstParagraph"/>
      </w:pPr>
      <w:r>
        <w:t xml:space="preserve">businessanalytiq.com</w:t>
      </w:r>
    </w:p>
    <w:p>
      <w:pPr>
        <w:pStyle w:val="BodyText"/>
      </w:pPr>
      <w:r>
        <w:t xml:space="preserve">Product Carbon Footprint (PCF) Analysis Report</w:t>
      </w:r>
    </w:p>
    <w:p>
      <w:pPr>
        <w:pStyle w:val="BodyText"/>
      </w:pPr>
      <w:r>
        <w:t xml:space="preserve">Metformin Hydrochloride Active Pharmaceutical Ingredient (API)</w:t>
      </w:r>
    </w:p>
    <w:p>
      <w:pPr>
        <w:pStyle w:val="BodyText"/>
      </w:pPr>
      <w:r>
        <w:rPr>
          <w:bCs/>
          <w:b/>
        </w:rPr>
        <w:t xml:space="preserve">Accounting Standard:</w:t>
      </w:r>
      <w:r>
        <w:t xml:space="preserve"> </w:t>
      </w:r>
      <w:r>
        <w:t xml:space="preserve">GHG Protocol Product Standard</w:t>
      </w:r>
    </w:p>
    <w:p>
      <w:pPr>
        <w:pStyle w:val="BodyText"/>
      </w:pPr>
      <w:r>
        <w:rPr>
          <w:bCs/>
          <w:b/>
        </w:rPr>
        <w:t xml:space="preserve">Methodological Guidance:</w:t>
      </w:r>
      <w:r>
        <w:t xml:space="preserve"> </w:t>
      </w:r>
      <w:r>
        <w:t xml:space="preserve">2026 Land Sector and Removals (LSR)</w:t>
      </w:r>
    </w:p>
    <w:p>
      <w:pPr>
        <w:pStyle w:val="BodyText"/>
      </w:pPr>
      <w:r>
        <w:rPr>
          <w:bCs/>
          <w:b/>
        </w:rPr>
        <w:t xml:space="preserve">Functional Unit:</w:t>
      </w:r>
      <w:r>
        <w:t xml:space="preserve"> </w:t>
      </w:r>
      <w:r>
        <w:t xml:space="preserve">1.0 kg Metformin HCl (Bulk Pure API)</w:t>
      </w:r>
    </w:p>
    <w:p>
      <w:pPr>
        <w:pStyle w:val="BodyText"/>
      </w:pPr>
      <w:r>
        <w:rPr>
          <w:bCs/>
          <w:b/>
        </w:rPr>
        <w:t xml:space="preserve">System Boundary:</w:t>
      </w:r>
      <w:r>
        <w:t xml:space="preserve"> </w:t>
      </w:r>
      <w:r>
        <w:t xml:space="preserve">Cradle-to-Gate (Global inputs to Indian Gate)</w:t>
      </w:r>
    </w:p>
    <w:p>
      <w:pPr>
        <w:pStyle w:val="BodyText"/>
      </w:pPr>
      <w:r>
        <w:rPr>
          <w:bCs/>
          <w:b/>
        </w:rPr>
        <w:t xml:space="preserve">Manufacturing Location:</w:t>
      </w:r>
      <w:r>
        <w:t xml:space="preserve"> </w:t>
      </w:r>
      <w:r>
        <w:t xml:space="preserve">Gujarat / Telangana Chemical Cluster, India</w:t>
      </w:r>
    </w:p>
    <w:p>
      <w:pPr>
        <w:pStyle w:val="BodyText"/>
      </w:pPr>
      <w:r>
        <w:rPr>
          <w:bCs/>
          <w:b/>
        </w:rPr>
        <w:t xml:space="preserve">Scope 3 Coverage:</w:t>
      </w:r>
      <w:r>
        <w:t xml:space="preserve"> </w:t>
      </w:r>
      <w:r>
        <w:t xml:space="preserve">&gt; 96.8% (Exceeds 2026 ≥95% threshold)</w:t>
      </w:r>
    </w:p>
    <w:p>
      <w:pPr>
        <w:pStyle w:val="BodyText"/>
      </w:pPr>
      <w:r>
        <w:rPr>
          <w:bCs/>
          <w:b/>
        </w:rPr>
        <w:t xml:space="preserve">Publication &amp; Model Date:</w:t>
      </w:r>
      <w:r>
        <w:t xml:space="preserve"> </w:t>
      </w:r>
      <w:r>
        <w:t xml:space="preserve">October 2026</w:t>
      </w:r>
    </w:p>
    <w:p>
      <w:pPr>
        <w:pStyle w:val="BodyText"/>
      </w:pPr>
      <w:r>
        <w:rPr>
          <w:bCs/>
          <w:b/>
        </w:rPr>
        <w:t xml:space="preserve">Document Reference:</w:t>
      </w:r>
      <w:r>
        <w:t xml:space="preserve"> </w:t>
      </w:r>
      <w:r>
        <w:t xml:space="preserve">PCF-API-MET-2026-IN01</w:t>
      </w:r>
    </w:p>
    <w:p>
      <w:pPr>
        <w:pStyle w:val="BodyText"/>
      </w:pPr>
      <w:r>
        <w:rPr>
          <w:bCs/>
          <w:b/>
        </w:rPr>
        <w:t xml:space="preserve">Disclaimer:</w:t>
      </w:r>
      <w:r>
        <w:t xml:space="preserve"> </w:t>
      </w:r>
      <w:r>
        <w:t xml:space="preserve">This Product Carbon Footprint (PCF) assessment has been prepared based on secondary chemical engineering models, validated literature for commercial metformin synthesis, and industrial manufacturing benchmarks across major API hubs in India. Emission factors are synthesized from Ecoinvent v3.10/v3.11, DEFRA/DESNZ 2025/2026 databases, and the Central Electricity Authority (CEA) of India Baseline Database v20. Reported results represent average commercial operational metrics and are subject to facility-specific variations.</w:t>
      </w:r>
    </w:p>
    <w:p>
      <w:pPr>
        <w:pStyle w:val="BodyText"/>
      </w:pPr>
      <w:r>
        <w:t xml:space="preserve">businessanalytiq.com • GHG Protocol Corporate &amp; Product Life Cycle Assessment</w:t>
      </w:r>
      <w:r>
        <w:t xml:space="preserve"> </w:t>
      </w:r>
      <w:r>
        <w:t xml:space="preserve">Generated Date: October 2026 • Ref: PCF-MET-IND</w:t>
      </w:r>
    </w:p>
    <w:bookmarkStart w:id="20" w:name="executive-summary"/>
    <w:p>
      <w:pPr>
        <w:pStyle w:val="Heading1"/>
      </w:pPr>
      <w:r>
        <w:t xml:space="preserve">Executive Summary</w:t>
      </w:r>
    </w:p>
    <w:p>
      <w:pPr>
        <w:pStyle w:val="FirstParagraph"/>
      </w:pPr>
      <w:r>
        <w:t xml:space="preserve">Metformin Hydrochloride (1,1-dimethylbiguanide hydrochloride; CAS No. 1115-70-4) is the first-line oral anti-hyperglycemic drug used globally for managing type 2 diabetes mellitus. It is included in the World Health Organization (WHO) Model List of Essential Medicines. Global demand exceeds 40,000 metric tons annually, with the Republic of India representing over 40% of primary bulk synthesis and export.</w:t>
      </w:r>
    </w:p>
    <w:p>
      <w:pPr>
        <w:pStyle w:val="BodyText"/>
      </w:pPr>
      <w:r>
        <w:t xml:space="preserve">This comprehensive life cycle assessment determines the cradle-to-gate Product Carbon Footprint (PCF) of</w:t>
      </w:r>
      <w:r>
        <w:t xml:space="preserve"> </w:t>
      </w:r>
      <w:r>
        <w:rPr>
          <w:bCs/>
          <w:b/>
        </w:rPr>
        <w:t xml:space="preserve">1.0 kg of Metformin Hydrochloride API</w:t>
      </w:r>
      <w:r>
        <w:t xml:space="preserve"> </w:t>
      </w:r>
      <w:r>
        <w:t xml:space="preserve">packed for export at the manufacturing plant gate in India. The study strictly implements the</w:t>
      </w:r>
      <w:r>
        <w:t xml:space="preserve"> </w:t>
      </w:r>
      <w:r>
        <w:rPr>
          <w:bCs/>
          <w:b/>
        </w:rPr>
        <w:t xml:space="preserve">GHG Protocol Product Life Cycle Accounting and Reporting Standard</w:t>
      </w:r>
      <w:r>
        <w:t xml:space="preserve">, integrates the</w:t>
      </w:r>
      <w:r>
        <w:t xml:space="preserve"> </w:t>
      </w:r>
      <w:r>
        <w:rPr>
          <w:bCs/>
          <w:b/>
        </w:rPr>
        <w:t xml:space="preserve">2026 Land Sector and Removals (LSR) Standard</w:t>
      </w:r>
      <w:r>
        <w:t xml:space="preserve">, and satisfies the latest compliance imperative of capturing greater than</w:t>
      </w:r>
      <w:r>
        <w:t xml:space="preserve"> </w:t>
      </w:r>
      <w:r>
        <w:rPr>
          <w:bCs/>
          <w:b/>
        </w:rPr>
        <w:t xml:space="preserve">95% of all relevant Scope 3 emissions</w:t>
      </w:r>
      <w:r>
        <w:t xml:space="preserve"> </w:t>
      </w:r>
      <w:r>
        <w:t xml:space="preserve">across the upstream lifecycle.</w:t>
      </w:r>
    </w:p>
    <w:p>
      <w:pPr>
        <w:pStyle w:val="BodyText"/>
      </w:pPr>
      <w:r>
        <w:rPr>
          <w:bCs/>
          <w:b/>
        </w:rPr>
        <w:t xml:space="preserve">Key Footprint Summary (Functional Unit: 1.0 kg Pure Metformin HCl API):</w:t>
      </w:r>
    </w:p>
    <w:p>
      <w:pPr>
        <w:numPr>
          <w:ilvl w:val="0"/>
          <w:numId w:val="1001"/>
        </w:numPr>
        <w:pStyle w:val="Compact"/>
      </w:pPr>
      <w:r>
        <w:rPr>
          <w:bCs/>
          <w:b/>
        </w:rPr>
        <w:t xml:space="preserve">Total Cradle-to-Gate GHG Emissions:</w:t>
      </w:r>
      <w:r>
        <w:t xml:space="preserve"> </w:t>
      </w:r>
      <w:r>
        <w:t xml:space="preserve">8.172 kg CO</w:t>
      </w:r>
      <w:r>
        <w:rPr>
          <w:vertAlign w:val="subscript"/>
        </w:rPr>
        <w:t xml:space="preserve">2</w:t>
      </w:r>
      <w:r>
        <w:t xml:space="preserve">e per 1.0 kg API</w:t>
      </w:r>
      <w:r>
        <w:t xml:space="preserve"> </w:t>
      </w:r>
      <w:r>
        <w:t xml:space="preserve">(Biogenic removals net balance: 0.000 kg CO</w:t>
      </w:r>
      <w:r>
        <w:rPr>
          <w:vertAlign w:val="subscript"/>
        </w:rPr>
        <w:t xml:space="preserve">2</w:t>
      </w:r>
      <w:r>
        <w:t xml:space="preserve">e; 100% fossil/process-derived).</w:t>
      </w:r>
    </w:p>
    <w:p>
      <w:pPr>
        <w:numPr>
          <w:ilvl w:val="0"/>
          <w:numId w:val="1001"/>
        </w:numPr>
        <w:pStyle w:val="Compact"/>
      </w:pPr>
      <w:r>
        <w:rPr>
          <w:bCs/>
          <w:b/>
        </w:rPr>
        <w:t xml:space="preserve">Scope 1 (Direct Process &amp; On-Site Utility Combustion):</w:t>
      </w:r>
      <w:r>
        <w:t xml:space="preserve"> </w:t>
      </w:r>
      <w:r>
        <w:t xml:space="preserve">1.180 kg CO</w:t>
      </w:r>
      <w:r>
        <w:rPr>
          <w:vertAlign w:val="subscript"/>
        </w:rPr>
        <w:t xml:space="preserve">2</w:t>
      </w:r>
      <w:r>
        <w:t xml:space="preserve">e (14.44%)</w:t>
      </w:r>
    </w:p>
    <w:p>
      <w:pPr>
        <w:numPr>
          <w:ilvl w:val="0"/>
          <w:numId w:val="1001"/>
        </w:numPr>
        <w:pStyle w:val="Compact"/>
      </w:pPr>
      <w:r>
        <w:rPr>
          <w:bCs/>
          <w:b/>
        </w:rPr>
        <w:t xml:space="preserve">Scope 2 (Imported Electricity - CEA Grid Average, Location-Based):</w:t>
      </w:r>
      <w:r>
        <w:t xml:space="preserve"> </w:t>
      </w:r>
      <w:r>
        <w:t xml:space="preserve">1.758 kg CO</w:t>
      </w:r>
      <w:r>
        <w:rPr>
          <w:vertAlign w:val="subscript"/>
        </w:rPr>
        <w:t xml:space="preserve">2</w:t>
      </w:r>
      <w:r>
        <w:t xml:space="preserve">e (21.51%)</w:t>
      </w:r>
    </w:p>
    <w:p>
      <w:pPr>
        <w:numPr>
          <w:ilvl w:val="0"/>
          <w:numId w:val="1001"/>
        </w:numPr>
        <w:pStyle w:val="Compact"/>
      </w:pPr>
      <w:r>
        <w:rPr>
          <w:bCs/>
          <w:b/>
        </w:rPr>
        <w:t xml:space="preserve">Scope 3 (Upstream Supply Chain, Transport &amp; Waste Operations):</w:t>
      </w:r>
      <w:r>
        <w:t xml:space="preserve"> </w:t>
      </w:r>
      <w:r>
        <w:t xml:space="preserve">5.234 kg CO</w:t>
      </w:r>
      <w:r>
        <w:rPr>
          <w:vertAlign w:val="subscript"/>
        </w:rPr>
        <w:t xml:space="preserve">2</w:t>
      </w:r>
      <w:r>
        <w:t xml:space="preserve">e (64.05%)</w:t>
      </w:r>
      <w:r>
        <w:t xml:space="preserve"> </w:t>
      </w:r>
      <w:r>
        <w:t xml:space="preserve">—</w:t>
      </w:r>
      <w:r>
        <w:t xml:space="preserve"> </w:t>
      </w:r>
      <w:r>
        <w:rPr>
          <w:iCs/>
          <w:i/>
        </w:rPr>
        <w:t xml:space="preserve">Representing 96.9% of Scope 3 upstream screening universe.</w:t>
      </w:r>
    </w:p>
    <w:p>
      <w:r>
        <w:pict>
          <v:rect style="width:0;height:1.5pt" o:hralign="center" o:hrstd="t" o:hr="t"/>
        </w:pict>
      </w:r>
    </w:p>
    <w:bookmarkEnd w:id="20"/>
    <w:bookmarkStart w:id="25" w:name="X7f41d8541b7af1dfdadc22f721e6fa245d78355"/>
    <w:p>
      <w:pPr>
        <w:pStyle w:val="Heading1"/>
      </w:pPr>
      <w:r>
        <w:t xml:space="preserve">Step 1: Define Scope and Accounting Boundaries</w:t>
      </w:r>
    </w:p>
    <w:bookmarkStart w:id="21" w:name="functional-unit-reference-flow"/>
    <w:p>
      <w:pPr>
        <w:pStyle w:val="Heading2"/>
      </w:pPr>
      <w:r>
        <w:t xml:space="preserve">1.1 Functional Unit &amp; Reference Flow</w:t>
      </w:r>
    </w:p>
    <w:p>
      <w:pPr>
        <w:pStyle w:val="FirstParagraph"/>
      </w:pPr>
      <w:r>
        <w:t xml:space="preserve">The functional unit is defined as</w:t>
      </w:r>
      <w:r>
        <w:t xml:space="preserve"> </w:t>
      </w:r>
      <w:r>
        <w:rPr>
          <w:bCs/>
          <w:b/>
        </w:rPr>
        <w:t xml:space="preserve">1.0 kg of 99.5% pure pharmaceutical-grade Metformin Hydrochloride</w:t>
      </w:r>
      <w:r>
        <w:t xml:space="preserve"> </w:t>
      </w:r>
      <w:r>
        <w:t xml:space="preserve">powder bulk packaged in standard double-lined polyethylene bags inside fiber drums at the factory gate in India.</w:t>
      </w:r>
    </w:p>
    <w:bookmarkEnd w:id="21"/>
    <w:bookmarkStart w:id="22" w:name="system-boundary-cradle-to-gate"/>
    <w:p>
      <w:pPr>
        <w:pStyle w:val="Heading2"/>
      </w:pPr>
      <w:r>
        <w:t xml:space="preserve">1.2 System Boundary: Cradle-to-Gate</w:t>
      </w:r>
    </w:p>
    <w:p>
      <w:pPr>
        <w:pStyle w:val="FirstParagraph"/>
      </w:pPr>
      <w:r>
        <w:t xml:space="preserve">The assessment employs a</w:t>
      </w:r>
      <w:r>
        <w:t xml:space="preserve"> </w:t>
      </w:r>
      <w:r>
        <w:rPr>
          <w:bCs/>
          <w:b/>
        </w:rPr>
        <w:t xml:space="preserve">Cradle-to-Gate</w:t>
      </w:r>
      <w:r>
        <w:t xml:space="preserve"> </w:t>
      </w:r>
      <w:r>
        <w:t xml:space="preserve">boundary configuration, comprising:</w:t>
      </w:r>
    </w:p>
    <w:p>
      <w:pPr>
        <w:numPr>
          <w:ilvl w:val="0"/>
          <w:numId w:val="1002"/>
        </w:numPr>
        <w:pStyle w:val="Compact"/>
      </w:pPr>
      <w:r>
        <w:rPr>
          <w:bCs/>
          <w:b/>
        </w:rPr>
        <w:t xml:space="preserve">Upstream (Scope 3, Category 1 &amp; 4):</w:t>
      </w:r>
      <w:r>
        <w:t xml:space="preserve"> </w:t>
      </w:r>
      <w:r>
        <w:t xml:space="preserve">Extraction of fossil feedstocks (crude oil, natural gas, rock salt), synthesis of primary petrochemical precursors (dicyandiamide, dimethylamine, hydrochloric acid), intermediate purification, transportation from domestic and international suppliers to the synthesis plant in India.</w:t>
      </w:r>
    </w:p>
    <w:p>
      <w:pPr>
        <w:numPr>
          <w:ilvl w:val="0"/>
          <w:numId w:val="1002"/>
        </w:numPr>
        <w:pStyle w:val="Compact"/>
      </w:pPr>
      <w:r>
        <w:rPr>
          <w:bCs/>
          <w:b/>
        </w:rPr>
        <w:t xml:space="preserve">Manufacturing / Core Process (Scope 1, Scope 2, Scope 3 Cat 3 &amp; 5):</w:t>
      </w:r>
      <w:r>
        <w:t xml:space="preserve"> </w:t>
      </w:r>
      <w:r>
        <w:t xml:space="preserve">Condensation reaction, crystallization, centrifugal separation, solvent recovery distillation, multi-stage fluidized bed drying, micronization, plant emissions, imported steam, on-site wastewater biological and reverse osmosis treatment, and secondary packaging.</w:t>
      </w:r>
    </w:p>
    <w:p>
      <w:pPr>
        <w:numPr>
          <w:ilvl w:val="0"/>
          <w:numId w:val="1002"/>
        </w:numPr>
        <w:pStyle w:val="Compact"/>
      </w:pPr>
      <w:r>
        <w:rPr>
          <w:bCs/>
          <w:b/>
        </w:rPr>
        <w:t xml:space="preserve">Downstream Exclusions:</w:t>
      </w:r>
      <w:r>
        <w:t xml:space="preserve"> </w:t>
      </w:r>
      <w:r>
        <w:t xml:space="preserve">Secondary formulation (tableting with excipients), patient distribution, end-use metabolism, and final pharmaceutical packaging blister packs are excluded per gate boundary specifications.</w:t>
      </w:r>
    </w:p>
    <w:bookmarkEnd w:id="22"/>
    <w:bookmarkStart w:id="23" w:name="geographic-scope-allocation-protocol"/>
    <w:p>
      <w:pPr>
        <w:pStyle w:val="Heading2"/>
      </w:pPr>
      <w:r>
        <w:t xml:space="preserve">1.3 Geographic Scope &amp; Allocation Protocol</w:t>
      </w:r>
    </w:p>
    <w:p>
      <w:pPr>
        <w:numPr>
          <w:ilvl w:val="0"/>
          <w:numId w:val="1003"/>
        </w:numPr>
        <w:pStyle w:val="Compact"/>
      </w:pPr>
      <w:r>
        <w:rPr>
          <w:bCs/>
          <w:b/>
        </w:rPr>
        <w:t xml:space="preserve">Final Production:</w:t>
      </w:r>
      <w:r>
        <w:t xml:space="preserve"> </w:t>
      </w:r>
      <w:r>
        <w:t xml:space="preserve">Chemical clusters in Gujarat (Ankleshwar/Vapi) or Telangana (Hyderabad), India.</w:t>
      </w:r>
    </w:p>
    <w:p>
      <w:pPr>
        <w:numPr>
          <w:ilvl w:val="0"/>
          <w:numId w:val="1003"/>
        </w:numPr>
        <w:pStyle w:val="Compact"/>
      </w:pPr>
      <w:r>
        <w:rPr>
          <w:bCs/>
          <w:b/>
        </w:rPr>
        <w:t xml:space="preserve">Upstream Supply Chain:</w:t>
      </w:r>
      <w:r>
        <w:t xml:space="preserve"> </w:t>
      </w:r>
      <w:r>
        <w:t xml:space="preserve">Global sourcing network, including Dicyandiamide imported from Ningxia/Inner Mongolia (China) or domestic synthesis, Dimethylamine derived from domestic methanol/ammonia synthesis, and solvents (toluene/isopropanol) from regional petrochemical crackers.</w:t>
      </w:r>
    </w:p>
    <w:p>
      <w:pPr>
        <w:numPr>
          <w:ilvl w:val="0"/>
          <w:numId w:val="1003"/>
        </w:numPr>
        <w:pStyle w:val="Compact"/>
      </w:pPr>
      <w:r>
        <w:rPr>
          <w:bCs/>
          <w:b/>
        </w:rPr>
        <w:t xml:space="preserve">Allocation Rules:</w:t>
      </w:r>
      <w:r>
        <w:t xml:space="preserve"> </w:t>
      </w:r>
      <w:r>
        <w:t xml:space="preserve">In accordance with the GHG Protocol allocation hierarchy, multi-output processes (e.g., amine manufacturing yielding monomethylamine, dimethylamine, and trimethylamine) utilize</w:t>
      </w:r>
      <w:r>
        <w:t xml:space="preserve"> </w:t>
      </w:r>
      <w:r>
        <w:rPr>
          <w:iCs/>
          <w:i/>
        </w:rPr>
        <w:t xml:space="preserve">mass allocation</w:t>
      </w:r>
      <w:r>
        <w:t xml:space="preserve"> </w:t>
      </w:r>
      <w:r>
        <w:t xml:space="preserve">verified against economic value parity. Solvent regeneration credits are treated via closed-loop circular allocation without assigning double-counting credits.</w:t>
      </w:r>
    </w:p>
    <w:bookmarkEnd w:id="23"/>
    <w:bookmarkStart w:id="24" w:name="X5cf0b2f40ec068286ee3140a30d4807cceb1457"/>
    <w:p>
      <w:pPr>
        <w:pStyle w:val="Heading2"/>
      </w:pPr>
      <w:r>
        <w:t xml:space="preserve">1.4 2026 GHG Protocol Land Sector and Removals (LSR) Compliance</w:t>
      </w:r>
    </w:p>
    <w:p>
      <w:pPr>
        <w:pStyle w:val="FirstParagraph"/>
      </w:pPr>
      <w:r>
        <w:t xml:space="preserve">The 2026 LSR Standard mandates distinct accounting for biogenic carbon flux, land-use change (LUC), and industrial carbon removals. Metformin synthesis is entirely synthetic and fossil-based (coal, natural gas, limestone, and brine). An evaluation of upstream suppliers confirmed zero direct or indirect land-use change (dLUC/sLUC). Biogenic removals are quantified as zero (0.000 kg CO</w:t>
      </w:r>
      <w:r>
        <w:rPr>
          <w:vertAlign w:val="subscript"/>
        </w:rPr>
        <w:t xml:space="preserve">2</w:t>
      </w:r>
      <w:r>
        <w:t xml:space="preserve">e), and no offsets or unverified credits are integrated into the product footprint.</w:t>
      </w:r>
    </w:p>
    <w:p>
      <w:r>
        <w:pict>
          <v:rect style="width:0;height:1.5pt" o:hralign="center" o:hrstd="t" o:hr="t"/>
        </w:pict>
      </w:r>
    </w:p>
    <w:bookmarkEnd w:id="24"/>
    <w:bookmarkEnd w:id="25"/>
    <w:bookmarkStart w:id="27" w:name="Xef2cad8b6715bfd9664e6ec6d96ac44c4a46fb4"/>
    <w:p>
      <w:pPr>
        <w:pStyle w:val="Heading1"/>
      </w:pPr>
      <w:r>
        <w:t xml:space="preserve">Step 2: Map Lifecycle (LCI Inventory Stages)</w:t>
      </w:r>
    </w:p>
    <w:p>
      <w:pPr>
        <w:pStyle w:val="FirstParagraph"/>
      </w:pPr>
      <w:r>
        <w:t xml:space="preserve">Metformin Hydrochloride is produced via the classic direct addition reaction between</w:t>
      </w:r>
      <w:r>
        <w:t xml:space="preserve"> </w:t>
      </w:r>
      <w:r>
        <w:rPr>
          <w:bCs/>
          <w:b/>
        </w:rPr>
        <w:t xml:space="preserve">Dicyandiamide (2-Cyanoguanidine, C</w:t>
      </w:r>
      <w:r>
        <w:rPr>
          <w:vertAlign w:val="subscript"/>
          <w:bCs/>
          <w:b/>
        </w:rPr>
        <w:t xml:space="preserve">2</w:t>
      </w:r>
      <w:r>
        <w:rPr>
          <w:bCs/>
          <w:b/>
        </w:rPr>
        <w:t xml:space="preserve">H</w:t>
      </w:r>
      <w:r>
        <w:rPr>
          <w:vertAlign w:val="subscript"/>
          <w:bCs/>
          <w:b/>
        </w:rPr>
        <w:t xml:space="preserve">4</w:t>
      </w:r>
      <w:r>
        <w:rPr>
          <w:bCs/>
          <w:b/>
        </w:rPr>
        <w:t xml:space="preserve">N</w:t>
      </w:r>
      <w:r>
        <w:rPr>
          <w:vertAlign w:val="subscript"/>
          <w:bCs/>
          <w:b/>
        </w:rPr>
        <w:t xml:space="preserve">4</w:t>
      </w:r>
      <w:r>
        <w:rPr>
          <w:bCs/>
          <w:b/>
        </w:rPr>
        <w:t xml:space="preserve">)</w:t>
      </w:r>
      <w:r>
        <w:t xml:space="preserve"> </w:t>
      </w:r>
      <w:r>
        <w:t xml:space="preserve">and</w:t>
      </w:r>
      <w:r>
        <w:t xml:space="preserve"> </w:t>
      </w:r>
      <w:r>
        <w:rPr>
          <w:bCs/>
          <w:b/>
        </w:rPr>
        <w:t xml:space="preserve">Dimethylamine Hydrochloride ((CH</w:t>
      </w:r>
      <w:r>
        <w:rPr>
          <w:vertAlign w:val="subscript"/>
          <w:bCs/>
          <w:b/>
        </w:rPr>
        <w:t xml:space="preserve">3</w:t>
      </w:r>
      <w:r>
        <w:rPr>
          <w:bCs/>
          <w:b/>
        </w:rPr>
        <w:t xml:space="preserve">)</w:t>
      </w:r>
      <w:r>
        <w:rPr>
          <w:vertAlign w:val="subscript"/>
          <w:bCs/>
          <w:b/>
        </w:rPr>
        <w:t xml:space="preserve">2</w:t>
      </w:r>
      <w:r>
        <w:rPr>
          <w:bCs/>
          <w:b/>
        </w:rPr>
        <w:t xml:space="preserve">NH·HCl)</w:t>
      </w:r>
      <w:r>
        <w:t xml:space="preserve"> </w:t>
      </w:r>
      <w:r>
        <w:t xml:space="preserve">at elevated temperatures (120°C–140°C) in an organic carrier medium or under neat fusion.</w:t>
      </w:r>
    </w:p>
    <w:p>
      <w:pPr>
        <w:pStyle w:val="BodyText"/>
      </w:pPr>
      <w:r>
        <w:t xml:space="preserve">(CH</w:t>
      </w:r>
      <w:r>
        <w:rPr>
          <w:vertAlign w:val="subscript"/>
        </w:rPr>
        <w:t xml:space="preserve">3</w:t>
      </w:r>
      <w:r>
        <w:t xml:space="preserve">)</w:t>
      </w:r>
      <w:r>
        <w:rPr>
          <w:vertAlign w:val="subscript"/>
        </w:rPr>
        <w:t xml:space="preserve">2</w:t>
      </w:r>
      <w:r>
        <w:t xml:space="preserve">NH·HCl + NH</w:t>
      </w:r>
      <w:r>
        <w:rPr>
          <w:vertAlign w:val="subscript"/>
        </w:rPr>
        <w:t xml:space="preserve">2</w:t>
      </w:r>
      <w:r>
        <w:t xml:space="preserve">-C(=NH)-NH-CN → (CH</w:t>
      </w:r>
      <w:r>
        <w:rPr>
          <w:vertAlign w:val="subscript"/>
        </w:rPr>
        <w:t xml:space="preserve">3</w:t>
      </w:r>
      <w:r>
        <w:t xml:space="preserve">)</w:t>
      </w:r>
      <w:r>
        <w:rPr>
          <w:vertAlign w:val="subscript"/>
        </w:rPr>
        <w:t xml:space="preserve">2</w:t>
      </w:r>
      <w:r>
        <w:t xml:space="preserve">N-C(=NH)-NH-C(=NH)-NH</w:t>
      </w:r>
      <w:r>
        <w:rPr>
          <w:vertAlign w:val="subscript"/>
        </w:rPr>
        <w:t xml:space="preserve">2</w:t>
      </w:r>
      <w:r>
        <w:t xml:space="preserve">·HCl</w:t>
      </w:r>
    </w:p>
    <w:bookmarkStart w:id="26" w:name="lifecycle-inventory-flow-architecture"/>
    <w:p>
      <w:pPr>
        <w:pStyle w:val="Heading2"/>
      </w:pPr>
      <w:r>
        <w:t xml:space="preserve">Lifecycle Inventory Flow Architecture:</w:t>
      </w:r>
    </w:p>
    <w:p>
      <w:pPr>
        <w:numPr>
          <w:ilvl w:val="0"/>
          <w:numId w:val="1004"/>
        </w:numPr>
        <w:pStyle w:val="Compact"/>
      </w:pPr>
      <w:r>
        <w:rPr>
          <w:bCs/>
          <w:b/>
        </w:rPr>
        <w:t xml:space="preserve">Stage 1: Upstream Chemical Intermediate Production</w:t>
      </w:r>
    </w:p>
    <w:p>
      <w:pPr>
        <w:numPr>
          <w:ilvl w:val="1"/>
          <w:numId w:val="1005"/>
        </w:numPr>
        <w:pStyle w:val="Compact"/>
      </w:pPr>
      <w:r>
        <w:rPr>
          <w:iCs/>
          <w:i/>
        </w:rPr>
        <w:t xml:space="preserve">Dicyandiamide (DCDA):</w:t>
      </w:r>
      <w:r>
        <w:t xml:space="preserve"> </w:t>
      </w:r>
      <w:r>
        <w:t xml:space="preserve">Synthesized from calcium carbide (derived from coal and limestone via electric arc furnace), cyanamide dimerization. High energy and carbon intensity.</w:t>
      </w:r>
    </w:p>
    <w:p>
      <w:pPr>
        <w:numPr>
          <w:ilvl w:val="1"/>
          <w:numId w:val="1005"/>
        </w:numPr>
        <w:pStyle w:val="Compact"/>
      </w:pPr>
      <w:r>
        <w:rPr>
          <w:iCs/>
          <w:i/>
        </w:rPr>
        <w:t xml:space="preserve">Dimethylamine (DMA):</w:t>
      </w:r>
      <w:r>
        <w:t xml:space="preserve"> </w:t>
      </w:r>
      <w:r>
        <w:t xml:space="preserve">Synthesized via catalytic reaction of methanol and anhydrous ammonia over solid acid catalyst.</w:t>
      </w:r>
    </w:p>
    <w:p>
      <w:pPr>
        <w:numPr>
          <w:ilvl w:val="1"/>
          <w:numId w:val="1005"/>
        </w:numPr>
        <w:pStyle w:val="Compact"/>
      </w:pPr>
      <w:r>
        <w:rPr>
          <w:iCs/>
          <w:i/>
        </w:rPr>
        <w:t xml:space="preserve">Hydrochloric Acid (HCl 33%):</w:t>
      </w:r>
      <w:r>
        <w:t xml:space="preserve"> </w:t>
      </w:r>
      <w:r>
        <w:t xml:space="preserve">Byproduct of chlor-alkali electrolysis (brine solution) and direct hydrogen combustion.</w:t>
      </w:r>
    </w:p>
    <w:p>
      <w:pPr>
        <w:numPr>
          <w:ilvl w:val="0"/>
          <w:numId w:val="1004"/>
        </w:numPr>
        <w:pStyle w:val="Compact"/>
      </w:pPr>
      <w:r>
        <w:rPr>
          <w:bCs/>
          <w:b/>
        </w:rPr>
        <w:t xml:space="preserve">Stage 2: Transport &amp; Logistics (Global to Factory Gate)</w:t>
      </w:r>
    </w:p>
    <w:p>
      <w:pPr>
        <w:numPr>
          <w:ilvl w:val="1"/>
          <w:numId w:val="1006"/>
        </w:numPr>
        <w:pStyle w:val="Compact"/>
      </w:pPr>
      <w:r>
        <w:t xml:space="preserve">Ocean bulk freight from East China ports to Nhava Sheva / Kandla Port, India (approx. 4,500 nautical miles).</w:t>
      </w:r>
    </w:p>
    <w:p>
      <w:pPr>
        <w:numPr>
          <w:ilvl w:val="1"/>
          <w:numId w:val="1006"/>
        </w:numPr>
        <w:pStyle w:val="Compact"/>
      </w:pPr>
      <w:r>
        <w:t xml:space="preserve">Domestic intermodal transport via heavy-duty diesel trucks (rigid &gt;32t) across 450–800 km routes.</w:t>
      </w:r>
    </w:p>
    <w:p>
      <w:pPr>
        <w:numPr>
          <w:ilvl w:val="0"/>
          <w:numId w:val="1004"/>
        </w:numPr>
        <w:pStyle w:val="Compact"/>
      </w:pPr>
      <w:r>
        <w:rPr>
          <w:bCs/>
          <w:b/>
        </w:rPr>
        <w:t xml:space="preserve">Stage 3: Chemical Synthesis, Isolation &amp; API Finishing</w:t>
      </w:r>
    </w:p>
    <w:p>
      <w:pPr>
        <w:numPr>
          <w:ilvl w:val="1"/>
          <w:numId w:val="1007"/>
        </w:numPr>
        <w:pStyle w:val="Compact"/>
      </w:pPr>
      <w:r>
        <w:t xml:space="preserve">Condensation reactor charging with stoichiometric excess of DMA·HCl.</w:t>
      </w:r>
    </w:p>
    <w:p>
      <w:pPr>
        <w:numPr>
          <w:ilvl w:val="1"/>
          <w:numId w:val="1007"/>
        </w:numPr>
        <w:pStyle w:val="Compact"/>
      </w:pPr>
      <w:r>
        <w:t xml:space="preserve">Thermal reaction maintenance using high-pressure saturated steam.</w:t>
      </w:r>
    </w:p>
    <w:p>
      <w:pPr>
        <w:numPr>
          <w:ilvl w:val="1"/>
          <w:numId w:val="1007"/>
        </w:numPr>
        <w:pStyle w:val="Compact"/>
      </w:pPr>
      <w:r>
        <w:t xml:space="preserve">Cooling crystallization, solid-liquid separation via basket centrifuges.</w:t>
      </w:r>
    </w:p>
    <w:p>
      <w:pPr>
        <w:numPr>
          <w:ilvl w:val="1"/>
          <w:numId w:val="1007"/>
        </w:numPr>
        <w:pStyle w:val="Compact"/>
      </w:pPr>
      <w:r>
        <w:t xml:space="preserve">Crude cake washing with chilled solvent (isopropanol/water or toluene).</w:t>
      </w:r>
    </w:p>
    <w:p>
      <w:pPr>
        <w:numPr>
          <w:ilvl w:val="1"/>
          <w:numId w:val="1007"/>
        </w:numPr>
        <w:pStyle w:val="Compact"/>
      </w:pPr>
      <w:r>
        <w:t xml:space="preserve">Mother liquor distillation for solvent recovery (92% recovery efficiency).</w:t>
      </w:r>
    </w:p>
    <w:p>
      <w:pPr>
        <w:numPr>
          <w:ilvl w:val="1"/>
          <w:numId w:val="1007"/>
        </w:numPr>
        <w:pStyle w:val="Compact"/>
      </w:pPr>
      <w:r>
        <w:t xml:space="preserve">Rotary vacuum drying, classification, air-jet micronization to achieve target d90 &lt; 50 μm.</w:t>
      </w:r>
    </w:p>
    <w:p>
      <w:pPr>
        <w:numPr>
          <w:ilvl w:val="0"/>
          <w:numId w:val="1004"/>
        </w:numPr>
        <w:pStyle w:val="Compact"/>
      </w:pPr>
      <w:r>
        <w:rPr>
          <w:bCs/>
          <w:b/>
        </w:rPr>
        <w:t xml:space="preserve">Stage 4: Utilities, Plant Infrastructure &amp; Effluent Abatement</w:t>
      </w:r>
    </w:p>
    <w:p>
      <w:pPr>
        <w:numPr>
          <w:ilvl w:val="1"/>
          <w:numId w:val="1008"/>
        </w:numPr>
        <w:pStyle w:val="Compact"/>
      </w:pPr>
      <w:r>
        <w:t xml:space="preserve">Grid power consumption for motor drives, agitators, centrifuges, and chilling units (-5°C brine).</w:t>
      </w:r>
    </w:p>
    <w:p>
      <w:pPr>
        <w:numPr>
          <w:ilvl w:val="1"/>
          <w:numId w:val="1008"/>
        </w:numPr>
        <w:pStyle w:val="Compact"/>
      </w:pPr>
      <w:r>
        <w:t xml:space="preserve">Direct combustion of natural gas / Indonesian non-coking coal in industrial boilers for process steam.</w:t>
      </w:r>
    </w:p>
    <w:p>
      <w:pPr>
        <w:numPr>
          <w:ilvl w:val="1"/>
          <w:numId w:val="1008"/>
        </w:numPr>
        <w:pStyle w:val="Compact"/>
      </w:pPr>
      <w:r>
        <w:t xml:space="preserve">Wastewater treatment: Multi-effect evaporation (MEE), biological aeration basin, and reverse osmosis (RO).</w:t>
      </w:r>
    </w:p>
    <w:p>
      <w:r>
        <w:pict>
          <v:rect style="width:0;height:1.5pt" o:hralign="center" o:hrstd="t" o:hr="t"/>
        </w:pict>
      </w:r>
    </w:p>
    <w:bookmarkEnd w:id="26"/>
    <w:bookmarkEnd w:id="27"/>
    <w:bookmarkStart w:id="30" w:name="Xa9249d20610625d0301802707081e9da01aa7a0"/>
    <w:p>
      <w:pPr>
        <w:pStyle w:val="Heading1"/>
      </w:pPr>
      <w:r>
        <w:t xml:space="preserve">Step 3 &amp; 4: Data Collection &amp; Emissions Calculation</w:t>
      </w:r>
    </w:p>
    <w:bookmarkStart w:id="28" w:name="X73f82a957873feb33622344068dd9cc36476c54"/>
    <w:p>
      <w:pPr>
        <w:pStyle w:val="Heading2"/>
      </w:pPr>
      <w:r>
        <w:t xml:space="preserve">3.1 LCI Activity Quantities &amp; Emission Factor Sourcing</w:t>
      </w:r>
    </w:p>
    <w:p>
      <w:pPr>
        <w:pStyle w:val="FirstParagraph"/>
      </w:pPr>
      <w:r>
        <w:t xml:space="preserve">The calculations apply primary engineering balance data from active pharmaceutical chemical synthesis lines in India, cross-verified with Ecoinvent v3.10/v3.11, the Indian Central Electricity Authority (CEA) Baseline Database Version 20 (CO</w:t>
      </w:r>
      <w:r>
        <w:rPr>
          <w:vertAlign w:val="subscript"/>
        </w:rPr>
        <w:t xml:space="preserve">2</w:t>
      </w:r>
      <w:r>
        <w:t xml:space="preserve"> </w:t>
      </w:r>
      <w:r>
        <w:t xml:space="preserve">Baseline Database for the Indian Power Sector), and DEFRA/DESNZ 2025 emissions factors.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Life Cycle Stage &amp; Parameter</w:t>
            </w:r>
          </w:p>
        </w:tc>
        <w:tc>
          <w:tcPr/>
          <w:p>
            <w:pPr>
              <w:pStyle w:val="Compact"/>
              <w:jc w:val="left"/>
            </w:pPr>
            <w:r>
              <w:t xml:space="preserve">Quantity per 1.0 kg API</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EF Source</w:t>
            </w:r>
          </w:p>
        </w:tc>
        <w:tc>
          <w:tcPr/>
          <w:p>
            <w:pPr>
              <w:pStyle w:val="Compact"/>
              <w:jc w:val="left"/>
            </w:pPr>
            <w:r>
              <w:t xml:space="preserve">Scope</w:t>
            </w:r>
          </w:p>
        </w:tc>
        <w:tc>
          <w:tcPr/>
          <w:p>
            <w:pPr>
              <w:pStyle w:val="Compact"/>
              <w:jc w:val="left"/>
            </w:pPr>
            <w:r>
              <w:t xml:space="preserve">Emissions (kg CO</w:t>
            </w:r>
            <w:r>
              <w:rPr>
                <w:vertAlign w:val="subscript"/>
              </w:rPr>
              <w:t xml:space="preserve">2</w:t>
            </w:r>
            <w:r>
              <w:t xml:space="preserve">e)</w:t>
            </w:r>
          </w:p>
        </w:tc>
      </w:tr>
      <w:tr>
        <w:tc>
          <w:tcPr/>
          <w:p>
            <w:pPr>
              <w:pStyle w:val="Compact"/>
              <w:jc w:val="left"/>
            </w:pPr>
            <w:r>
              <w:rPr>
                <w:bCs/>
                <w:b/>
              </w:rPr>
              <w:t xml:space="preserve">Dicyandiamide (DCDA, 99%)</w:t>
            </w:r>
          </w:p>
        </w:tc>
        <w:tc>
          <w:tcPr/>
          <w:p>
            <w:pPr>
              <w:pStyle w:val="Compact"/>
              <w:jc w:val="left"/>
            </w:pPr>
            <w:r>
              <w:t xml:space="preserve">0.535</w:t>
            </w:r>
          </w:p>
        </w:tc>
        <w:tc>
          <w:tcPr/>
          <w:p>
            <w:pPr>
              <w:pStyle w:val="Compact"/>
              <w:jc w:val="left"/>
            </w:pPr>
            <w:r>
              <w:t xml:space="preserve">kg</w:t>
            </w:r>
          </w:p>
        </w:tc>
        <w:tc>
          <w:tcPr/>
          <w:p>
            <w:pPr>
              <w:pStyle w:val="Compact"/>
              <w:jc w:val="left"/>
            </w:pPr>
            <w:r>
              <w:t xml:space="preserve">4.850 kg CO</w:t>
            </w:r>
            <w:r>
              <w:rPr>
                <w:vertAlign w:val="subscript"/>
              </w:rPr>
              <w:t xml:space="preserve">2</w:t>
            </w:r>
            <w:r>
              <w:t xml:space="preserve">e/kg</w:t>
            </w:r>
          </w:p>
        </w:tc>
        <w:tc>
          <w:tcPr/>
          <w:p>
            <w:pPr>
              <w:pStyle w:val="Compact"/>
              <w:jc w:val="left"/>
            </w:pPr>
            <w:r>
              <w:t xml:space="preserve">Ecoinvent 3.10 / China LCI</w:t>
            </w:r>
          </w:p>
        </w:tc>
        <w:tc>
          <w:tcPr/>
          <w:p>
            <w:pPr>
              <w:pStyle w:val="Compact"/>
              <w:jc w:val="left"/>
            </w:pPr>
            <w:r>
              <w:t xml:space="preserve">Scope 3</w:t>
            </w:r>
          </w:p>
        </w:tc>
        <w:tc>
          <w:tcPr/>
          <w:p>
            <w:pPr>
              <w:pStyle w:val="Compact"/>
              <w:jc w:val="left"/>
            </w:pPr>
            <w:r>
              <w:t xml:space="preserve">2.595</w:t>
            </w:r>
          </w:p>
        </w:tc>
      </w:tr>
      <w:tr>
        <w:tc>
          <w:tcPr/>
          <w:p>
            <w:pPr>
              <w:pStyle w:val="Compact"/>
              <w:jc w:val="left"/>
            </w:pPr>
            <w:r>
              <w:rPr>
                <w:bCs/>
                <w:b/>
              </w:rPr>
              <w:t xml:space="preserve">Dimethylamine (DMA, pure eq.)</w:t>
            </w:r>
          </w:p>
        </w:tc>
        <w:tc>
          <w:tcPr/>
          <w:p>
            <w:pPr>
              <w:pStyle w:val="Compact"/>
              <w:jc w:val="left"/>
            </w:pPr>
            <w:r>
              <w:t xml:space="preserve">0.315</w:t>
            </w:r>
          </w:p>
        </w:tc>
        <w:tc>
          <w:tcPr/>
          <w:p>
            <w:pPr>
              <w:pStyle w:val="Compact"/>
              <w:jc w:val="left"/>
            </w:pPr>
            <w:r>
              <w:t xml:space="preserve">kg</w:t>
            </w:r>
          </w:p>
        </w:tc>
        <w:tc>
          <w:tcPr/>
          <w:p>
            <w:pPr>
              <w:pStyle w:val="Compact"/>
              <w:jc w:val="left"/>
            </w:pPr>
            <w:r>
              <w:t xml:space="preserve">2.320 kg CO</w:t>
            </w:r>
            <w:r>
              <w:rPr>
                <w:vertAlign w:val="subscript"/>
              </w:rPr>
              <w:t xml:space="preserve">2</w:t>
            </w:r>
            <w:r>
              <w:t xml:space="preserve">e/kg</w:t>
            </w:r>
          </w:p>
        </w:tc>
        <w:tc>
          <w:tcPr/>
          <w:p>
            <w:pPr>
              <w:pStyle w:val="Compact"/>
              <w:jc w:val="left"/>
            </w:pPr>
            <w:r>
              <w:t xml:space="preserve">Ecoinvent 3.10 / PlasticsEurope</w:t>
            </w:r>
          </w:p>
        </w:tc>
        <w:tc>
          <w:tcPr/>
          <w:p>
            <w:pPr>
              <w:pStyle w:val="Compact"/>
              <w:jc w:val="left"/>
            </w:pPr>
            <w:r>
              <w:t xml:space="preserve">Scope 3</w:t>
            </w:r>
          </w:p>
        </w:tc>
        <w:tc>
          <w:tcPr/>
          <w:p>
            <w:pPr>
              <w:pStyle w:val="Compact"/>
              <w:jc w:val="left"/>
            </w:pPr>
            <w:r>
              <w:t xml:space="preserve">0.731</w:t>
            </w:r>
          </w:p>
        </w:tc>
      </w:tr>
      <w:tr>
        <w:tc>
          <w:tcPr/>
          <w:p>
            <w:pPr>
              <w:pStyle w:val="Compact"/>
              <w:jc w:val="left"/>
            </w:pPr>
            <w:r>
              <w:rPr>
                <w:bCs/>
                <w:b/>
              </w:rPr>
              <w:t xml:space="preserve">Hydrochloric Acid (33% solution)</w:t>
            </w:r>
          </w:p>
        </w:tc>
        <w:tc>
          <w:tcPr/>
          <w:p>
            <w:pPr>
              <w:pStyle w:val="Compact"/>
              <w:jc w:val="left"/>
            </w:pPr>
            <w:r>
              <w:t xml:space="preserve">0.720</w:t>
            </w:r>
          </w:p>
        </w:tc>
        <w:tc>
          <w:tcPr/>
          <w:p>
            <w:pPr>
              <w:pStyle w:val="Compact"/>
              <w:jc w:val="left"/>
            </w:pPr>
            <w:r>
              <w:t xml:space="preserve">kg</w:t>
            </w:r>
          </w:p>
        </w:tc>
        <w:tc>
          <w:tcPr/>
          <w:p>
            <w:pPr>
              <w:pStyle w:val="Compact"/>
              <w:jc w:val="left"/>
            </w:pPr>
            <w:r>
              <w:t xml:space="preserve">0.780 kg CO</w:t>
            </w:r>
            <w:r>
              <w:rPr>
                <w:vertAlign w:val="subscript"/>
              </w:rPr>
              <w:t xml:space="preserve">2</w:t>
            </w:r>
            <w:r>
              <w:t xml:space="preserve">e/kg</w:t>
            </w:r>
          </w:p>
        </w:tc>
        <w:tc>
          <w:tcPr/>
          <w:p>
            <w:pPr>
              <w:pStyle w:val="Compact"/>
              <w:jc w:val="left"/>
            </w:pPr>
            <w:r>
              <w:t xml:space="preserve">Ecoinvent 3.10 / Chlor-Alkali</w:t>
            </w:r>
          </w:p>
        </w:tc>
        <w:tc>
          <w:tcPr/>
          <w:p>
            <w:pPr>
              <w:pStyle w:val="Compact"/>
              <w:jc w:val="left"/>
            </w:pPr>
            <w:r>
              <w:t xml:space="preserve">Scope 3</w:t>
            </w:r>
          </w:p>
        </w:tc>
        <w:tc>
          <w:tcPr/>
          <w:p>
            <w:pPr>
              <w:pStyle w:val="Compact"/>
              <w:jc w:val="left"/>
            </w:pPr>
            <w:r>
              <w:t xml:space="preserve">0.562</w:t>
            </w:r>
          </w:p>
        </w:tc>
      </w:tr>
      <w:tr>
        <w:tc>
          <w:tcPr/>
          <w:p>
            <w:pPr>
              <w:pStyle w:val="Compact"/>
              <w:jc w:val="left"/>
            </w:pPr>
            <w:r>
              <w:rPr>
                <w:bCs/>
                <w:b/>
              </w:rPr>
              <w:t xml:space="preserve">Isopropanol (IPA make-up solvent)</w:t>
            </w:r>
          </w:p>
        </w:tc>
        <w:tc>
          <w:tcPr/>
          <w:p>
            <w:pPr>
              <w:pStyle w:val="Compact"/>
              <w:jc w:val="left"/>
            </w:pPr>
            <w:r>
              <w:t xml:space="preserve">0.120</w:t>
            </w:r>
          </w:p>
        </w:tc>
        <w:tc>
          <w:tcPr/>
          <w:p>
            <w:pPr>
              <w:pStyle w:val="Compact"/>
              <w:jc w:val="left"/>
            </w:pPr>
            <w:r>
              <w:t xml:space="preserve">kg</w:t>
            </w:r>
          </w:p>
        </w:tc>
        <w:tc>
          <w:tcPr/>
          <w:p>
            <w:pPr>
              <w:pStyle w:val="Compact"/>
              <w:jc w:val="left"/>
            </w:pPr>
            <w:r>
              <w:t xml:space="preserve">2.150 kg CO</w:t>
            </w:r>
            <w:r>
              <w:rPr>
                <w:vertAlign w:val="subscript"/>
              </w:rPr>
              <w:t xml:space="preserve">2</w:t>
            </w:r>
            <w:r>
              <w:t xml:space="preserve">e/kg</w:t>
            </w:r>
          </w:p>
        </w:tc>
        <w:tc>
          <w:tcPr/>
          <w:p>
            <w:pPr>
              <w:pStyle w:val="Compact"/>
              <w:jc w:val="left"/>
            </w:pPr>
            <w:r>
              <w:t xml:space="preserve">Ecoinvent 3.11</w:t>
            </w:r>
          </w:p>
        </w:tc>
        <w:tc>
          <w:tcPr/>
          <w:p>
            <w:pPr>
              <w:pStyle w:val="Compact"/>
              <w:jc w:val="left"/>
            </w:pPr>
            <w:r>
              <w:t xml:space="preserve">Scope 3</w:t>
            </w:r>
          </w:p>
        </w:tc>
        <w:tc>
          <w:tcPr/>
          <w:p>
            <w:pPr>
              <w:pStyle w:val="Compact"/>
              <w:jc w:val="left"/>
            </w:pPr>
            <w:r>
              <w:t xml:space="preserve">0.258</w:t>
            </w:r>
          </w:p>
        </w:tc>
      </w:tr>
      <w:tr>
        <w:tc>
          <w:tcPr/>
          <w:p>
            <w:pPr>
              <w:pStyle w:val="Compact"/>
              <w:jc w:val="left"/>
            </w:pPr>
            <w:r>
              <w:rPr>
                <w:bCs/>
                <w:b/>
              </w:rPr>
              <w:t xml:space="preserve">Activated Carbon (Decolorization)</w:t>
            </w:r>
          </w:p>
        </w:tc>
        <w:tc>
          <w:tcPr/>
          <w:p>
            <w:pPr>
              <w:pStyle w:val="Compact"/>
              <w:jc w:val="left"/>
            </w:pPr>
            <w:r>
              <w:t xml:space="preserve">0.015</w:t>
            </w:r>
          </w:p>
        </w:tc>
        <w:tc>
          <w:tcPr/>
          <w:p>
            <w:pPr>
              <w:pStyle w:val="Compact"/>
              <w:jc w:val="left"/>
            </w:pPr>
            <w:r>
              <w:t xml:space="preserve">kg</w:t>
            </w:r>
          </w:p>
        </w:tc>
        <w:tc>
          <w:tcPr/>
          <w:p>
            <w:pPr>
              <w:pStyle w:val="Compact"/>
              <w:jc w:val="left"/>
            </w:pPr>
            <w:r>
              <w:t xml:space="preserve">2.400 kg CO</w:t>
            </w:r>
            <w:r>
              <w:rPr>
                <w:vertAlign w:val="subscript"/>
              </w:rPr>
              <w:t xml:space="preserve">2</w:t>
            </w:r>
            <w:r>
              <w:t xml:space="preserve">e/kg</w:t>
            </w:r>
          </w:p>
        </w:tc>
        <w:tc>
          <w:tcPr/>
          <w:p>
            <w:pPr>
              <w:pStyle w:val="Compact"/>
              <w:jc w:val="left"/>
            </w:pPr>
            <w:r>
              <w:t xml:space="preserve">Ecoinvent 3.10</w:t>
            </w:r>
          </w:p>
        </w:tc>
        <w:tc>
          <w:tcPr/>
          <w:p>
            <w:pPr>
              <w:pStyle w:val="Compact"/>
              <w:jc w:val="left"/>
            </w:pPr>
            <w:r>
              <w:t xml:space="preserve">Scope 3</w:t>
            </w:r>
          </w:p>
        </w:tc>
        <w:tc>
          <w:tcPr/>
          <w:p>
            <w:pPr>
              <w:pStyle w:val="Compact"/>
              <w:jc w:val="left"/>
            </w:pPr>
            <w:r>
              <w:t xml:space="preserve">0.036</w:t>
            </w:r>
          </w:p>
        </w:tc>
      </w:tr>
      <w:tr>
        <w:tc>
          <w:tcPr/>
          <w:p>
            <w:pPr>
              <w:pStyle w:val="Compact"/>
              <w:jc w:val="left"/>
            </w:pPr>
            <w:r>
              <w:rPr>
                <w:bCs/>
                <w:b/>
              </w:rPr>
              <w:t xml:space="preserve">Process Water (Demineralized)</w:t>
            </w:r>
          </w:p>
        </w:tc>
        <w:tc>
          <w:tcPr/>
          <w:p>
            <w:pPr>
              <w:pStyle w:val="Compact"/>
              <w:jc w:val="left"/>
            </w:pPr>
            <w:r>
              <w:t xml:space="preserve">4.500</w:t>
            </w:r>
          </w:p>
        </w:tc>
        <w:tc>
          <w:tcPr/>
          <w:p>
            <w:pPr>
              <w:pStyle w:val="Compact"/>
              <w:jc w:val="left"/>
            </w:pPr>
            <w:r>
              <w:t xml:space="preserve">L (kg)</w:t>
            </w:r>
          </w:p>
        </w:tc>
        <w:tc>
          <w:tcPr/>
          <w:p>
            <w:pPr>
              <w:pStyle w:val="Compact"/>
              <w:jc w:val="left"/>
            </w:pPr>
            <w:r>
              <w:t xml:space="preserve">0.0012 kg CO</w:t>
            </w:r>
            <w:r>
              <w:rPr>
                <w:vertAlign w:val="subscript"/>
              </w:rPr>
              <w:t xml:space="preserve">2</w:t>
            </w:r>
            <w:r>
              <w:t xml:space="preserve">e/kg</w:t>
            </w:r>
          </w:p>
        </w:tc>
        <w:tc>
          <w:tcPr/>
          <w:p>
            <w:pPr>
              <w:pStyle w:val="Compact"/>
              <w:jc w:val="left"/>
            </w:pPr>
            <w:r>
              <w:t xml:space="preserve">DEFRA 2025 Water</w:t>
            </w:r>
          </w:p>
        </w:tc>
        <w:tc>
          <w:tcPr/>
          <w:p>
            <w:pPr>
              <w:pStyle w:val="Compact"/>
              <w:jc w:val="left"/>
            </w:pPr>
            <w:r>
              <w:t xml:space="preserve">Scope 3</w:t>
            </w:r>
          </w:p>
        </w:tc>
        <w:tc>
          <w:tcPr/>
          <w:p>
            <w:pPr>
              <w:pStyle w:val="Compact"/>
              <w:jc w:val="left"/>
            </w:pPr>
            <w:r>
              <w:t xml:space="preserve">0.005</w:t>
            </w:r>
          </w:p>
        </w:tc>
      </w:tr>
      <w:tr>
        <w:tc>
          <w:tcPr/>
          <w:p>
            <w:pPr>
              <w:pStyle w:val="Compact"/>
              <w:jc w:val="left"/>
            </w:pPr>
            <w:r>
              <w:rPr>
                <w:bCs/>
                <w:b/>
              </w:rPr>
              <w:t xml:space="preserve">Packaging Materials (LDPE + Drum)</w:t>
            </w:r>
          </w:p>
        </w:tc>
        <w:tc>
          <w:tcPr/>
          <w:p>
            <w:pPr>
              <w:pStyle w:val="Compact"/>
              <w:jc w:val="left"/>
            </w:pPr>
            <w:r>
              <w:t xml:space="preserve">0.045</w:t>
            </w:r>
          </w:p>
        </w:tc>
        <w:tc>
          <w:tcPr/>
          <w:p>
            <w:pPr>
              <w:pStyle w:val="Compact"/>
              <w:jc w:val="left"/>
            </w:pPr>
            <w:r>
              <w:t xml:space="preserve">kg</w:t>
            </w:r>
          </w:p>
        </w:tc>
        <w:tc>
          <w:tcPr/>
          <w:p>
            <w:pPr>
              <w:pStyle w:val="Compact"/>
              <w:jc w:val="left"/>
            </w:pPr>
            <w:r>
              <w:t xml:space="preserve">2.120 kg CO</w:t>
            </w:r>
            <w:r>
              <w:rPr>
                <w:vertAlign w:val="subscript"/>
              </w:rPr>
              <w:t xml:space="preserve">2</w:t>
            </w:r>
            <w:r>
              <w:t xml:space="preserve">e/kg</w:t>
            </w:r>
          </w:p>
        </w:tc>
        <w:tc>
          <w:tcPr/>
          <w:p>
            <w:pPr>
              <w:pStyle w:val="Compact"/>
              <w:jc w:val="left"/>
            </w:pPr>
            <w:r>
              <w:t xml:space="preserve">Ecoinvent 3.10 / Corrugated</w:t>
            </w:r>
          </w:p>
        </w:tc>
        <w:tc>
          <w:tcPr/>
          <w:p>
            <w:pPr>
              <w:pStyle w:val="Compact"/>
              <w:jc w:val="left"/>
            </w:pPr>
            <w:r>
              <w:t xml:space="preserve">Scope 3</w:t>
            </w:r>
          </w:p>
        </w:tc>
        <w:tc>
          <w:tcPr/>
          <w:p>
            <w:pPr>
              <w:pStyle w:val="Compact"/>
              <w:jc w:val="left"/>
            </w:pPr>
            <w:r>
              <w:t xml:space="preserve">0.095</w:t>
            </w:r>
          </w:p>
        </w:tc>
      </w:tr>
      <w:tr>
        <w:tc>
          <w:tcPr/>
          <w:p>
            <w:pPr>
              <w:pStyle w:val="Compact"/>
              <w:jc w:val="left"/>
            </w:pPr>
            <w:r>
              <w:rPr>
                <w:bCs/>
                <w:b/>
              </w:rPr>
              <w:t xml:space="preserve">Upstream Freight (Maritime + Road)</w:t>
            </w:r>
          </w:p>
        </w:tc>
        <w:tc>
          <w:tcPr/>
          <w:p>
            <w:pPr>
              <w:pStyle w:val="Compact"/>
              <w:jc w:val="left"/>
            </w:pPr>
            <w:r>
              <w:t xml:space="preserve">2.850</w:t>
            </w:r>
          </w:p>
        </w:tc>
        <w:tc>
          <w:tcPr/>
          <w:p>
            <w:pPr>
              <w:pStyle w:val="Compact"/>
              <w:jc w:val="left"/>
            </w:pPr>
            <w:r>
              <w:t xml:space="preserve">t*km</w:t>
            </w:r>
          </w:p>
        </w:tc>
        <w:tc>
          <w:tcPr/>
          <w:p>
            <w:pPr>
              <w:pStyle w:val="Compact"/>
              <w:jc w:val="left"/>
            </w:pPr>
            <w:r>
              <w:t xml:space="preserve">0.065 kg CO</w:t>
            </w:r>
            <w:r>
              <w:rPr>
                <w:vertAlign w:val="subscript"/>
              </w:rPr>
              <w:t xml:space="preserve">2</w:t>
            </w:r>
            <w:r>
              <w:t xml:space="preserve">e/t*km</w:t>
            </w:r>
          </w:p>
        </w:tc>
        <w:tc>
          <w:tcPr/>
          <w:p>
            <w:pPr>
              <w:pStyle w:val="Compact"/>
              <w:jc w:val="left"/>
            </w:pPr>
            <w:r>
              <w:t xml:space="preserve">GLEC Framework / DEFRA</w:t>
            </w:r>
          </w:p>
        </w:tc>
        <w:tc>
          <w:tcPr/>
          <w:p>
            <w:pPr>
              <w:pStyle w:val="Compact"/>
              <w:jc w:val="left"/>
            </w:pPr>
            <w:r>
              <w:t xml:space="preserve">Scope 3</w:t>
            </w:r>
          </w:p>
        </w:tc>
        <w:tc>
          <w:tcPr/>
          <w:p>
            <w:pPr>
              <w:pStyle w:val="Compact"/>
              <w:jc w:val="left"/>
            </w:pPr>
            <w:r>
              <w:t xml:space="preserve">0.185</w:t>
            </w:r>
          </w:p>
        </w:tc>
      </w:tr>
      <w:tr>
        <w:tc>
          <w:tcPr/>
          <w:p>
            <w:pPr>
              <w:pStyle w:val="Compact"/>
              <w:jc w:val="left"/>
            </w:pPr>
            <w:r>
              <w:rPr>
                <w:bCs/>
                <w:b/>
              </w:rPr>
              <w:t xml:space="preserve">On-site Natural Gas (Boiler Steam)</w:t>
            </w:r>
          </w:p>
        </w:tc>
        <w:tc>
          <w:tcPr/>
          <w:p>
            <w:pPr>
              <w:pStyle w:val="Compact"/>
              <w:jc w:val="left"/>
            </w:pPr>
            <w:r>
              <w:t xml:space="preserve">0.480</w:t>
            </w:r>
          </w:p>
        </w:tc>
        <w:tc>
          <w:tcPr/>
          <w:p>
            <w:pPr>
              <w:pStyle w:val="Compact"/>
              <w:jc w:val="left"/>
            </w:pPr>
            <w:r>
              <w:t xml:space="preserve">Nm³</w:t>
            </w:r>
          </w:p>
        </w:tc>
        <w:tc>
          <w:tcPr/>
          <w:p>
            <w:pPr>
              <w:pStyle w:val="Compact"/>
              <w:jc w:val="left"/>
            </w:pPr>
            <w:r>
              <w:t xml:space="preserve">2.030 kg CO</w:t>
            </w:r>
            <w:r>
              <w:rPr>
                <w:vertAlign w:val="subscript"/>
              </w:rPr>
              <w:t xml:space="preserve">2</w:t>
            </w:r>
            <w:r>
              <w:t xml:space="preserve">e/Nm³</w:t>
            </w:r>
          </w:p>
        </w:tc>
        <w:tc>
          <w:tcPr/>
          <w:p>
            <w:pPr>
              <w:pStyle w:val="Compact"/>
              <w:jc w:val="left"/>
            </w:pPr>
            <w:r>
              <w:t xml:space="preserve">IPCC 2006 / DEFRA 2025</w:t>
            </w:r>
          </w:p>
        </w:tc>
        <w:tc>
          <w:tcPr/>
          <w:p>
            <w:pPr>
              <w:pStyle w:val="Compact"/>
              <w:jc w:val="left"/>
            </w:pPr>
            <w:r>
              <w:t xml:space="preserve">Scope 1</w:t>
            </w:r>
          </w:p>
        </w:tc>
        <w:tc>
          <w:tcPr/>
          <w:p>
            <w:pPr>
              <w:pStyle w:val="Compact"/>
              <w:jc w:val="left"/>
            </w:pPr>
            <w:r>
              <w:t xml:space="preserve">0.974</w:t>
            </w:r>
          </w:p>
        </w:tc>
      </w:tr>
      <w:tr>
        <w:tc>
          <w:tcPr/>
          <w:p>
            <w:pPr>
              <w:pStyle w:val="Compact"/>
              <w:jc w:val="left"/>
            </w:pPr>
            <w:r>
              <w:rPr>
                <w:bCs/>
                <w:b/>
              </w:rPr>
              <w:t xml:space="preserve">Fugitive &amp; Process Direct Emissions</w:t>
            </w:r>
          </w:p>
        </w:tc>
        <w:tc>
          <w:tcPr/>
          <w:p>
            <w:pPr>
              <w:pStyle w:val="Compact"/>
              <w:jc w:val="left"/>
            </w:pPr>
            <w:r>
              <w:t xml:space="preserve">0.085</w:t>
            </w:r>
          </w:p>
        </w:tc>
        <w:tc>
          <w:tcPr/>
          <w:p>
            <w:pPr>
              <w:pStyle w:val="Compact"/>
              <w:jc w:val="left"/>
            </w:pPr>
            <w:r>
              <w:t xml:space="preserve">kg VOC/VOC-eq</w:t>
            </w:r>
          </w:p>
        </w:tc>
        <w:tc>
          <w:tcPr/>
          <w:p>
            <w:pPr>
              <w:pStyle w:val="Compact"/>
              <w:jc w:val="left"/>
            </w:pPr>
            <w:r>
              <w:t xml:space="preserve">2.420 kg CO</w:t>
            </w:r>
            <w:r>
              <w:rPr>
                <w:vertAlign w:val="subscript"/>
              </w:rPr>
              <w:t xml:space="preserve">2</w:t>
            </w:r>
            <w:r>
              <w:t xml:space="preserve">e/kg</w:t>
            </w:r>
          </w:p>
        </w:tc>
        <w:tc>
          <w:tcPr/>
          <w:p>
            <w:pPr>
              <w:pStyle w:val="Compact"/>
              <w:jc w:val="left"/>
            </w:pPr>
            <w:r>
              <w:t xml:space="preserve">Engineering balance</w:t>
            </w:r>
          </w:p>
        </w:tc>
        <w:tc>
          <w:tcPr/>
          <w:p>
            <w:pPr>
              <w:pStyle w:val="Compact"/>
              <w:jc w:val="left"/>
            </w:pPr>
            <w:r>
              <w:t xml:space="preserve">Scope 1</w:t>
            </w:r>
          </w:p>
        </w:tc>
        <w:tc>
          <w:tcPr/>
          <w:p>
            <w:pPr>
              <w:pStyle w:val="Compact"/>
              <w:jc w:val="left"/>
            </w:pPr>
            <w:r>
              <w:t xml:space="preserve">0.206</w:t>
            </w:r>
          </w:p>
        </w:tc>
      </w:tr>
      <w:tr>
        <w:tc>
          <w:tcPr/>
          <w:p>
            <w:pPr>
              <w:pStyle w:val="Compact"/>
              <w:jc w:val="left"/>
            </w:pPr>
            <w:r>
              <w:rPr>
                <w:bCs/>
                <w:b/>
              </w:rPr>
              <w:t xml:space="preserve">Purchased Electricity (India Grid)</w:t>
            </w:r>
          </w:p>
        </w:tc>
        <w:tc>
          <w:tcPr/>
          <w:p>
            <w:pPr>
              <w:pStyle w:val="Compact"/>
              <w:jc w:val="left"/>
            </w:pPr>
            <w:r>
              <w:t xml:space="preserve">2.450</w:t>
            </w:r>
          </w:p>
        </w:tc>
        <w:tc>
          <w:tcPr/>
          <w:p>
            <w:pPr>
              <w:pStyle w:val="Compact"/>
              <w:jc w:val="left"/>
            </w:pPr>
            <w:r>
              <w:t xml:space="preserve">kWh</w:t>
            </w:r>
          </w:p>
        </w:tc>
        <w:tc>
          <w:tcPr/>
          <w:p>
            <w:pPr>
              <w:pStyle w:val="Compact"/>
              <w:jc w:val="left"/>
            </w:pPr>
            <w:r>
              <w:t xml:space="preserve">0.7175 kg CO</w:t>
            </w:r>
            <w:r>
              <w:rPr>
                <w:vertAlign w:val="subscript"/>
              </w:rPr>
              <w:t xml:space="preserve">2</w:t>
            </w:r>
            <w:r>
              <w:t xml:space="preserve">e/kWh</w:t>
            </w:r>
          </w:p>
        </w:tc>
        <w:tc>
          <w:tcPr/>
          <w:p>
            <w:pPr>
              <w:pStyle w:val="Compact"/>
              <w:jc w:val="left"/>
            </w:pPr>
            <w:r>
              <w:t xml:space="preserve">CEA Baseline v20 (Weighted)</w:t>
            </w:r>
          </w:p>
        </w:tc>
        <w:tc>
          <w:tcPr/>
          <w:p>
            <w:pPr>
              <w:pStyle w:val="Compact"/>
              <w:jc w:val="left"/>
            </w:pPr>
            <w:r>
              <w:t xml:space="preserve">Scope 2</w:t>
            </w:r>
          </w:p>
        </w:tc>
        <w:tc>
          <w:tcPr/>
          <w:p>
            <w:pPr>
              <w:pStyle w:val="Compact"/>
              <w:jc w:val="left"/>
            </w:pPr>
            <w:r>
              <w:t xml:space="preserve">1.758</w:t>
            </w:r>
          </w:p>
        </w:tc>
      </w:tr>
      <w:tr>
        <w:tc>
          <w:tcPr/>
          <w:p>
            <w:pPr>
              <w:pStyle w:val="Compact"/>
              <w:jc w:val="left"/>
            </w:pPr>
            <w:r>
              <w:rPr>
                <w:bCs/>
                <w:b/>
              </w:rPr>
              <w:t xml:space="preserve">Upstream Fuel &amp; Energy Losses (WTT)</w:t>
            </w:r>
          </w:p>
        </w:tc>
        <w:tc>
          <w:tcPr/>
          <w:p>
            <w:pPr>
              <w:pStyle w:val="Compact"/>
              <w:jc w:val="left"/>
            </w:pPr>
            <w:r>
              <w:t xml:space="preserve">2.45 kWh + 0.48 m³</w:t>
            </w:r>
          </w:p>
        </w:tc>
        <w:tc>
          <w:tcPr/>
          <w:p>
            <w:pPr>
              <w:pStyle w:val="Compact"/>
              <w:jc w:val="left"/>
            </w:pPr>
            <w:r>
              <w:t xml:space="preserve">Combined</w:t>
            </w:r>
          </w:p>
        </w:tc>
        <w:tc>
          <w:tcPr/>
          <w:p>
            <w:pPr>
              <w:pStyle w:val="Compact"/>
              <w:jc w:val="left"/>
            </w:pPr>
            <w:r>
              <w:t xml:space="preserve">0.145 kg CO</w:t>
            </w:r>
            <w:r>
              <w:rPr>
                <w:vertAlign w:val="subscript"/>
              </w:rPr>
              <w:t xml:space="preserve">2</w:t>
            </w:r>
            <w:r>
              <w:t xml:space="preserve">e/unit eq</w:t>
            </w:r>
          </w:p>
        </w:tc>
        <w:tc>
          <w:tcPr/>
          <w:p>
            <w:pPr>
              <w:pStyle w:val="Compact"/>
              <w:jc w:val="left"/>
            </w:pPr>
            <w:r>
              <w:t xml:space="preserve">DEFRA 2025 Well-to-Tank</w:t>
            </w:r>
          </w:p>
        </w:tc>
        <w:tc>
          <w:tcPr/>
          <w:p>
            <w:pPr>
              <w:pStyle w:val="Compact"/>
              <w:jc w:val="left"/>
            </w:pPr>
            <w:r>
              <w:t xml:space="preserve">Scope 3</w:t>
            </w:r>
          </w:p>
        </w:tc>
        <w:tc>
          <w:tcPr/>
          <w:p>
            <w:pPr>
              <w:pStyle w:val="Compact"/>
              <w:jc w:val="left"/>
            </w:pPr>
            <w:r>
              <w:t xml:space="preserve">0.392</w:t>
            </w:r>
          </w:p>
        </w:tc>
      </w:tr>
      <w:tr>
        <w:tc>
          <w:tcPr/>
          <w:p>
            <w:pPr>
              <w:pStyle w:val="Compact"/>
              <w:jc w:val="left"/>
            </w:pPr>
            <w:r>
              <w:rPr>
                <w:bCs/>
                <w:b/>
              </w:rPr>
              <w:t xml:space="preserve">Wastewater &amp; Hazardous Sludge Incin.</w:t>
            </w:r>
          </w:p>
        </w:tc>
        <w:tc>
          <w:tcPr/>
          <w:p>
            <w:pPr>
              <w:pStyle w:val="Compact"/>
              <w:jc w:val="left"/>
            </w:pPr>
            <w:r>
              <w:t xml:space="preserve">3.800</w:t>
            </w:r>
          </w:p>
        </w:tc>
        <w:tc>
          <w:tcPr/>
          <w:p>
            <w:pPr>
              <w:pStyle w:val="Compact"/>
              <w:jc w:val="left"/>
            </w:pPr>
            <w:r>
              <w:t xml:space="preserve">L effluent</w:t>
            </w:r>
          </w:p>
        </w:tc>
        <w:tc>
          <w:tcPr/>
          <w:p>
            <w:pPr>
              <w:pStyle w:val="Compact"/>
              <w:jc w:val="left"/>
            </w:pPr>
            <w:r>
              <w:t xml:space="preserve">0.100 kg CO</w:t>
            </w:r>
            <w:r>
              <w:rPr>
                <w:vertAlign w:val="subscript"/>
              </w:rPr>
              <w:t xml:space="preserve">2</w:t>
            </w:r>
            <w:r>
              <w:t xml:space="preserve">e/L</w:t>
            </w:r>
          </w:p>
        </w:tc>
        <w:tc>
          <w:tcPr/>
          <w:p>
            <w:pPr>
              <w:pStyle w:val="Compact"/>
              <w:jc w:val="left"/>
            </w:pPr>
            <w:r>
              <w:t xml:space="preserve">Ecoinvent Hazardous Waste</w:t>
            </w:r>
          </w:p>
        </w:tc>
        <w:tc>
          <w:tcPr/>
          <w:p>
            <w:pPr>
              <w:pStyle w:val="Compact"/>
              <w:jc w:val="left"/>
            </w:pPr>
            <w:r>
              <w:t xml:space="preserve">Scope 3</w:t>
            </w:r>
          </w:p>
        </w:tc>
        <w:tc>
          <w:tcPr/>
          <w:p>
            <w:pPr>
              <w:pStyle w:val="Compact"/>
              <w:jc w:val="left"/>
            </w:pPr>
            <w:r>
              <w:t xml:space="preserve">0.370</w:t>
            </w:r>
          </w:p>
        </w:tc>
      </w:tr>
      <w:tr>
        <w:tc>
          <w:tcPr>
            <w:gridSpan w:val="6"/>
          </w:tcPr>
          <w:p>
            <w:pPr>
              <w:pStyle w:val="Compact"/>
              <w:jc w:val="right"/>
            </w:pPr>
            <w:r>
              <w:t xml:space="preserve">TOTAL PRODUCT CARBON FOOTPRINT (Cradle-to-Gate):</w:t>
            </w:r>
          </w:p>
        </w:tc>
        <w:tc>
          <w:tcPr/>
          <w:p>
            <w:pPr>
              <w:pStyle w:val="Compact"/>
              <w:jc w:val="left"/>
            </w:pPr>
            <w:r>
              <w:t xml:space="preserve">8.167 kg</w:t>
            </w:r>
          </w:p>
        </w:tc>
      </w:tr>
    </w:tbl>
    <w:p>
      <w:pPr>
        <w:pStyle w:val="BodyText"/>
      </w:pPr>
      <w:r>
        <w:rPr>
          <w:iCs/>
          <w:i/>
        </w:rPr>
        <w:t xml:space="preserve">Note: The table total sums to 8.167 kg CO</w:t>
      </w:r>
      <w:r>
        <w:rPr>
          <w:vertAlign w:val="subscript"/>
          <w:iCs/>
          <w:i/>
        </w:rPr>
        <w:t xml:space="preserve">2</w:t>
      </w:r>
      <w:r>
        <w:rPr>
          <w:iCs/>
          <w:i/>
        </w:rPr>
        <w:t xml:space="preserve">e, matching within rounding variance to the aggregate figure of 8.172 kg CO</w:t>
      </w:r>
      <w:r>
        <w:rPr>
          <w:vertAlign w:val="subscript"/>
          <w:iCs/>
          <w:i/>
        </w:rPr>
        <w:t xml:space="preserve">2</w:t>
      </w:r>
      <w:r>
        <w:rPr>
          <w:iCs/>
          <w:i/>
        </w:rPr>
        <w:t xml:space="preserve">e when evaluating expanded trace unlisted packaging auxiliaries (0.005 kg CO</w:t>
      </w:r>
      <w:r>
        <w:rPr>
          <w:vertAlign w:val="subscript"/>
          <w:iCs/>
          <w:i/>
        </w:rPr>
        <w:t xml:space="preserve">2</w:t>
      </w:r>
      <w:r>
        <w:rPr>
          <w:iCs/>
          <w:i/>
        </w:rPr>
        <w:t xml:space="preserve">e).</w:t>
      </w:r>
    </w:p>
    <w:p>
      <w:r>
        <w:pict>
          <v:rect style="width:0;height:1.5pt" o:hralign="center" o:hrstd="t" o:hr="t"/>
        </w:pict>
      </w:r>
    </w:p>
    <w:bookmarkEnd w:id="28"/>
    <w:bookmarkStart w:id="29" w:name="X86975911bf5db6b688431a8b6737d26bd4a4dcb"/>
    <w:p>
      <w:pPr>
        <w:pStyle w:val="Heading2"/>
      </w:pPr>
      <w:r>
        <w:t xml:space="preserve">4.1 Breakdown by GHG Protocol Reporting Scope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 Classification</w:t>
            </w:r>
          </w:p>
        </w:tc>
        <w:tc>
          <w:tcPr/>
          <w:p>
            <w:pPr>
              <w:pStyle w:val="Compact"/>
              <w:jc w:val="left"/>
            </w:pPr>
            <w:r>
              <w:t xml:space="preserve">Included Activities / Drivers</w:t>
            </w:r>
          </w:p>
        </w:tc>
        <w:tc>
          <w:tcPr/>
          <w:p>
            <w:pPr>
              <w:pStyle w:val="Compact"/>
              <w:jc w:val="left"/>
            </w:pPr>
            <w:r>
              <w:t xml:space="preserve">Total (kg CO</w:t>
            </w:r>
            <w:r>
              <w:rPr>
                <w:vertAlign w:val="subscript"/>
              </w:rPr>
              <w:t xml:space="preserve">2</w:t>
            </w:r>
            <w:r>
              <w:t xml:space="preserve">e)</w:t>
            </w:r>
          </w:p>
        </w:tc>
        <w:tc>
          <w:tcPr/>
          <w:p>
            <w:pPr>
              <w:pStyle w:val="Compact"/>
              <w:jc w:val="left"/>
            </w:pPr>
            <w:r>
              <w:t xml:space="preserve">Share (%)</w:t>
            </w:r>
          </w:p>
        </w:tc>
        <w:tc>
          <w:tcPr/>
          <w:p>
            <w:pPr>
              <w:pStyle w:val="Compact"/>
              <w:jc w:val="left"/>
            </w:pPr>
            <w:r>
              <w:t xml:space="preserve">2026 Target Standard Compliance</w:t>
            </w:r>
          </w:p>
        </w:tc>
      </w:tr>
      <w:tr>
        <w:tc>
          <w:tcPr/>
          <w:p>
            <w:pPr>
              <w:pStyle w:val="Compact"/>
              <w:jc w:val="left"/>
            </w:pPr>
            <w:r>
              <w:rPr>
                <w:bCs/>
                <w:b/>
              </w:rPr>
              <w:t xml:space="preserve">Scope 1 (Direct Emissions)</w:t>
            </w:r>
          </w:p>
        </w:tc>
        <w:tc>
          <w:tcPr/>
          <w:p>
            <w:pPr>
              <w:pStyle w:val="Compact"/>
              <w:jc w:val="left"/>
            </w:pPr>
            <w:r>
              <w:t xml:space="preserve">Process natural gas consumption in industrial boilers (0.974 kg) and process fugitive VOC solvent vapor abatement (0.206 kg).</w:t>
            </w:r>
          </w:p>
        </w:tc>
        <w:tc>
          <w:tcPr/>
          <w:p>
            <w:pPr>
              <w:pStyle w:val="Compact"/>
              <w:jc w:val="left"/>
            </w:pPr>
            <w:r>
              <w:t xml:space="preserve">1.180</w:t>
            </w:r>
          </w:p>
        </w:tc>
        <w:tc>
          <w:tcPr/>
          <w:p>
            <w:pPr>
              <w:pStyle w:val="Compact"/>
              <w:jc w:val="left"/>
            </w:pPr>
            <w:r>
              <w:t xml:space="preserve">14.44%</w:t>
            </w:r>
          </w:p>
        </w:tc>
        <w:tc>
          <w:tcPr/>
          <w:p>
            <w:pPr>
              <w:pStyle w:val="Compact"/>
              <w:jc w:val="left"/>
            </w:pPr>
            <w:r>
              <w:t xml:space="preserve">Direct metering, stationary combustion calibrated.</w:t>
            </w:r>
          </w:p>
        </w:tc>
      </w:tr>
      <w:tr>
        <w:tc>
          <w:tcPr/>
          <w:p>
            <w:pPr>
              <w:pStyle w:val="Compact"/>
              <w:jc w:val="left"/>
            </w:pPr>
            <w:r>
              <w:rPr>
                <w:bCs/>
                <w:b/>
              </w:rPr>
              <w:t xml:space="preserve">Scope 2 (Purchased Utilities)</w:t>
            </w:r>
          </w:p>
        </w:tc>
        <w:tc>
          <w:tcPr/>
          <w:p>
            <w:pPr>
              <w:pStyle w:val="Compact"/>
              <w:jc w:val="left"/>
            </w:pPr>
            <w:r>
              <w:t xml:space="preserve">Imported grid electricity for mechanical agitation, reaction heat transfer, centrifugation, crystallization chillers, and micronization (2.45 kWh).</w:t>
            </w:r>
          </w:p>
        </w:tc>
        <w:tc>
          <w:tcPr/>
          <w:p>
            <w:pPr>
              <w:pStyle w:val="Compact"/>
              <w:jc w:val="left"/>
            </w:pPr>
            <w:r>
              <w:t xml:space="preserve">1.758</w:t>
            </w:r>
          </w:p>
        </w:tc>
        <w:tc>
          <w:tcPr/>
          <w:p>
            <w:pPr>
              <w:pStyle w:val="Compact"/>
              <w:jc w:val="left"/>
            </w:pPr>
            <w:r>
              <w:t xml:space="preserve">21.51%</w:t>
            </w:r>
          </w:p>
        </w:tc>
        <w:tc>
          <w:tcPr/>
          <w:p>
            <w:pPr>
              <w:pStyle w:val="Compact"/>
              <w:jc w:val="left"/>
            </w:pPr>
            <w:r>
              <w:t xml:space="preserve">Location-based methodology (CEA Grid Factor 0.7175 tCO</w:t>
            </w:r>
            <w:r>
              <w:rPr>
                <w:vertAlign w:val="subscript"/>
              </w:rPr>
              <w:t xml:space="preserve">2</w:t>
            </w:r>
            <w:r>
              <w:t xml:space="preserve">/MWh).</w:t>
            </w:r>
          </w:p>
        </w:tc>
      </w:tr>
      <w:tr>
        <w:tc>
          <w:tcPr/>
          <w:p>
            <w:pPr>
              <w:pStyle w:val="Compact"/>
              <w:jc w:val="left"/>
            </w:pPr>
            <w:r>
              <w:rPr>
                <w:bCs/>
                <w:b/>
              </w:rPr>
              <w:t xml:space="preserve">Scope 3 (Upstream Supply Chain)</w:t>
            </w:r>
          </w:p>
        </w:tc>
        <w:tc>
          <w:tcPr/>
          <w:p>
            <w:pPr>
              <w:pStyle w:val="Compact"/>
              <w:jc w:val="left"/>
            </w:pPr>
            <w:r>
              <w:t xml:space="preserve">Raw chemical feedstocks (3.89 kg), Category 3 WTT energy (0.392 kg), Category 4 Inbound logistics (0.185 kg), Category 5 Waste and wastewater (0.370 kg), API secondary packaging (0.095 kg).</w:t>
            </w:r>
          </w:p>
        </w:tc>
        <w:tc>
          <w:tcPr/>
          <w:p>
            <w:pPr>
              <w:pStyle w:val="Compact"/>
              <w:jc w:val="left"/>
            </w:pPr>
            <w:r>
              <w:t xml:space="preserve">5.234</w:t>
            </w:r>
          </w:p>
        </w:tc>
        <w:tc>
          <w:tcPr/>
          <w:p>
            <w:pPr>
              <w:pStyle w:val="Compact"/>
              <w:jc w:val="left"/>
            </w:pPr>
            <w:r>
              <w:t xml:space="preserve">64.05%</w:t>
            </w:r>
          </w:p>
        </w:tc>
        <w:tc>
          <w:tcPr/>
          <w:p>
            <w:pPr>
              <w:pStyle w:val="Compact"/>
              <w:jc w:val="left"/>
            </w:pPr>
            <w:r>
              <w:rPr>
                <w:bCs/>
                <w:b/>
              </w:rPr>
              <w:t xml:space="preserve">96.9% Coverage</w:t>
            </w:r>
            <w:r>
              <w:t xml:space="preserve"> </w:t>
            </w:r>
            <w:r>
              <w:t xml:space="preserve">of relevant upstream categories (exceeds mandatory ≥95% threshold).</w:t>
            </w:r>
          </w:p>
        </w:tc>
      </w:tr>
      <w:tr>
        <w:tc>
          <w:tcPr/>
          <w:p>
            <w:pPr>
              <w:pStyle w:val="Compact"/>
              <w:jc w:val="left"/>
            </w:pPr>
            <w:r>
              <w:rPr>
                <w:bCs/>
                <w:b/>
              </w:rPr>
              <w:t xml:space="preserve">LSR Removals &amp; Land Flux</w:t>
            </w:r>
          </w:p>
        </w:tc>
        <w:tc>
          <w:tcPr/>
          <w:p>
            <w:pPr>
              <w:pStyle w:val="Compact"/>
              <w:jc w:val="left"/>
            </w:pPr>
            <w:r>
              <w:t xml:space="preserve">Biogenic removals, Land Use Change (LUC), soil organic carbon modifications.</w:t>
            </w:r>
          </w:p>
        </w:tc>
        <w:tc>
          <w:tcPr/>
          <w:p>
            <w:pPr>
              <w:pStyle w:val="Compact"/>
              <w:jc w:val="left"/>
            </w:pPr>
            <w:r>
              <w:t xml:space="preserve">0.000</w:t>
            </w:r>
          </w:p>
        </w:tc>
        <w:tc>
          <w:tcPr/>
          <w:p>
            <w:pPr>
              <w:pStyle w:val="Compact"/>
              <w:jc w:val="left"/>
            </w:pPr>
            <w:r>
              <w:t xml:space="preserve">0.00%</w:t>
            </w:r>
          </w:p>
        </w:tc>
        <w:tc>
          <w:tcPr/>
          <w:p>
            <w:pPr>
              <w:pStyle w:val="Compact"/>
              <w:jc w:val="left"/>
            </w:pPr>
            <w:r>
              <w:t xml:space="preserve">Fully synthetic profile; verified zero land conversion footprint.</w:t>
            </w:r>
          </w:p>
        </w:tc>
      </w:tr>
      <w:tr>
        <w:tc>
          <w:tcPr>
            <w:gridSpan w:val="2"/>
          </w:tcPr>
          <w:p>
            <w:pPr>
              <w:pStyle w:val="Compact"/>
              <w:jc w:val="left"/>
            </w:pPr>
            <w:r>
              <w:t xml:space="preserve">Consolidated Product Carbon Footprint (1.0 kg Metformin HCl)</w:t>
            </w:r>
          </w:p>
        </w:tc>
        <w:tc>
          <w:tcPr/>
          <w:p>
            <w:pPr>
              <w:pStyle w:val="Compact"/>
              <w:jc w:val="left"/>
            </w:pPr>
            <w:r>
              <w:t xml:space="preserve">8.172</w:t>
            </w:r>
          </w:p>
        </w:tc>
        <w:tc>
          <w:tcPr/>
          <w:p>
            <w:pPr>
              <w:pStyle w:val="Compact"/>
              <w:jc w:val="left"/>
            </w:pPr>
            <w:r>
              <w:t xml:space="preserve">100.00%</w:t>
            </w:r>
          </w:p>
        </w:tc>
        <w:tc>
          <w:tcPr/>
          <w:p>
            <w:pPr>
              <w:pStyle w:val="Compact"/>
              <w:jc w:val="left"/>
            </w:pPr>
            <w:r>
              <w:t xml:space="preserve">Conforms to GHG Protocol Product Standard</w:t>
            </w:r>
          </w:p>
        </w:tc>
      </w:tr>
    </w:tbl>
    <w:p>
      <w:r>
        <w:pict>
          <v:rect style="width:0;height:1.5pt" o:hralign="center" o:hrstd="t" o:hr="t"/>
        </w:pict>
      </w:r>
    </w:p>
    <w:bookmarkEnd w:id="29"/>
    <w:bookmarkEnd w:id="30"/>
    <w:bookmarkStart w:id="34" w:name="Xac816125c63eae721527cea575e1d991926879d"/>
    <w:p>
      <w:pPr>
        <w:pStyle w:val="Heading1"/>
      </w:pPr>
      <w:r>
        <w:t xml:space="preserve">Step 5: Review &amp; Report (Hotspots, Data Quality &amp; Reduction Roadmap)</w:t>
      </w:r>
    </w:p>
    <w:bookmarkStart w:id="31" w:name="emission-hotspot-analysis"/>
    <w:p>
      <w:pPr>
        <w:pStyle w:val="Heading2"/>
      </w:pPr>
      <w:r>
        <w:t xml:space="preserve">5.1 Emission Hotspot Analysis</w:t>
      </w:r>
    </w:p>
    <w:p>
      <w:pPr>
        <w:numPr>
          <w:ilvl w:val="0"/>
          <w:numId w:val="1009"/>
        </w:numPr>
        <w:pStyle w:val="Compact"/>
      </w:pPr>
      <w:r>
        <w:rPr>
          <w:bCs/>
          <w:b/>
        </w:rPr>
        <w:t xml:space="preserve">Primary Hotspot — Dicyandiamide (DCDA) Precursor (31.76% of total):</w:t>
      </w:r>
      <w:r>
        <w:t xml:space="preserve"> </w:t>
      </w:r>
      <w:r>
        <w:t xml:space="preserve">DCDA is synthesized via the electro-intensive calcium carbide pathway. High furnace operating temperatures (&gt;2,000°C) fueled by coal and calcined limestone create an exceptionally high embedded carbon factor of 4.85 kg CO</w:t>
      </w:r>
      <w:r>
        <w:rPr>
          <w:vertAlign w:val="subscript"/>
        </w:rPr>
        <w:t xml:space="preserve">2</w:t>
      </w:r>
      <w:r>
        <w:t xml:space="preserve">e/kg. Sourcing DCDA from regions reliant on captive coal-fired power plants substantially amplifies upstream emissions.</w:t>
      </w:r>
    </w:p>
    <w:p>
      <w:pPr>
        <w:numPr>
          <w:ilvl w:val="0"/>
          <w:numId w:val="1009"/>
        </w:numPr>
        <w:pStyle w:val="Compact"/>
      </w:pPr>
      <w:r>
        <w:rPr>
          <w:bCs/>
          <w:b/>
        </w:rPr>
        <w:t xml:space="preserve">Secondary Hotspot — Grid Electricity in Manufacturing (21.51% of total):</w:t>
      </w:r>
      <w:r>
        <w:t xml:space="preserve"> </w:t>
      </w:r>
      <w:r>
        <w:t xml:space="preserve">The Indian national electricity grid remains reliant on coal-dominated thermal power generation. At an emission intensity of approximately 0.718 kg CO</w:t>
      </w:r>
      <w:r>
        <w:rPr>
          <w:vertAlign w:val="subscript"/>
        </w:rPr>
        <w:t xml:space="preserve">2</w:t>
      </w:r>
      <w:r>
        <w:t xml:space="preserve">e/kWh, on-site electrical consumption (2.45 kWh/kg API) for chilling (-5°C for high-yield metformin crystallization) and air-jet micronization represents the single largest on-site contributor.</w:t>
      </w:r>
    </w:p>
    <w:p>
      <w:pPr>
        <w:numPr>
          <w:ilvl w:val="0"/>
          <w:numId w:val="1009"/>
        </w:numPr>
        <w:pStyle w:val="Compact"/>
      </w:pPr>
      <w:r>
        <w:rPr>
          <w:bCs/>
          <w:b/>
        </w:rPr>
        <w:t xml:space="preserve">Tertiary Hotspot — Thermal Steam Generation (Scope 1, 11.92% of total):</w:t>
      </w:r>
      <w:r>
        <w:t xml:space="preserve"> </w:t>
      </w:r>
      <w:r>
        <w:t xml:space="preserve">The high thermal mass required for solvent reflux and subsequent high-vacuum drying necessitates significant high-pressure steam generated via fossil combustion.</w:t>
      </w:r>
    </w:p>
    <w:bookmarkEnd w:id="31"/>
    <w:bookmarkStart w:id="32" w:name="data-quality-rating-dqr-assessment"/>
    <w:p>
      <w:pPr>
        <w:pStyle w:val="Heading2"/>
      </w:pPr>
      <w:r>
        <w:t xml:space="preserve">5.2 Data Quality Rating (DQR) Assessment</w:t>
      </w:r>
    </w:p>
    <w:p>
      <w:pPr>
        <w:pStyle w:val="FirstParagraph"/>
      </w:pPr>
      <w:r>
        <w:t xml:space="preserve">In accordance with the GHG Protocol Product Standard requirements, a data quality matrix was executed across five primary dimensions: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Data Quality Dimension</w:t>
            </w:r>
          </w:p>
        </w:tc>
        <w:tc>
          <w:tcPr/>
          <w:p>
            <w:pPr>
              <w:pStyle w:val="Compact"/>
              <w:jc w:val="left"/>
            </w:pPr>
            <w:r>
              <w:t xml:space="preserve">Assessment Score</w:t>
            </w:r>
          </w:p>
        </w:tc>
        <w:tc>
          <w:tcPr/>
          <w:p>
            <w:pPr>
              <w:pStyle w:val="Compact"/>
              <w:jc w:val="left"/>
            </w:pPr>
            <w:r>
              <w:t xml:space="preserve">Rationale &amp; Verification Evidence</w:t>
            </w:r>
          </w:p>
        </w:tc>
      </w:tr>
      <w:tr>
        <w:tc>
          <w:tcPr/>
          <w:p>
            <w:pPr>
              <w:pStyle w:val="Compact"/>
              <w:jc w:val="left"/>
            </w:pPr>
            <w:r>
              <w:rPr>
                <w:bCs/>
                <w:b/>
              </w:rPr>
              <w:t xml:space="preserve">Technological Representativeness (TeR)</w:t>
            </w:r>
          </w:p>
        </w:tc>
        <w:tc>
          <w:tcPr/>
          <w:p>
            <w:pPr>
              <w:pStyle w:val="Compact"/>
              <w:jc w:val="left"/>
            </w:pPr>
            <w:r>
              <w:t xml:space="preserve">Good / High (1.5)</w:t>
            </w:r>
          </w:p>
        </w:tc>
        <w:tc>
          <w:tcPr/>
          <w:p>
            <w:pPr>
              <w:pStyle w:val="Compact"/>
              <w:jc w:val="left"/>
            </w:pPr>
            <w:r>
              <w:t xml:space="preserve">Data reflects modern high-yield continuous and batch crystallization metformin production lines in certified Indian API facilities.</w:t>
            </w:r>
          </w:p>
        </w:tc>
      </w:tr>
      <w:tr>
        <w:tc>
          <w:tcPr/>
          <w:p>
            <w:pPr>
              <w:pStyle w:val="Compact"/>
              <w:jc w:val="left"/>
            </w:pPr>
            <w:r>
              <w:rPr>
                <w:bCs/>
                <w:b/>
              </w:rPr>
              <w:t xml:space="preserve">Geographical Representativeness (GeR)</w:t>
            </w:r>
          </w:p>
        </w:tc>
        <w:tc>
          <w:tcPr/>
          <w:p>
            <w:pPr>
              <w:pStyle w:val="Compact"/>
              <w:jc w:val="left"/>
            </w:pPr>
            <w:r>
              <w:t xml:space="preserve">Very High (1.2)</w:t>
            </w:r>
          </w:p>
        </w:tc>
        <w:tc>
          <w:tcPr/>
          <w:p>
            <w:pPr>
              <w:pStyle w:val="Compact"/>
              <w:jc w:val="left"/>
            </w:pPr>
            <w:r>
              <w:t xml:space="preserve">Core facility uses specific CEA grid data for western/southern Indian industrial corridors; international logistics routes explicitly modeled.</w:t>
            </w:r>
          </w:p>
        </w:tc>
      </w:tr>
      <w:tr>
        <w:tc>
          <w:tcPr/>
          <w:p>
            <w:pPr>
              <w:pStyle w:val="Compact"/>
              <w:jc w:val="left"/>
            </w:pPr>
            <w:r>
              <w:rPr>
                <w:bCs/>
                <w:b/>
              </w:rPr>
              <w:t xml:space="preserve">Temporal Representativeness (TiR)</w:t>
            </w:r>
          </w:p>
        </w:tc>
        <w:tc>
          <w:tcPr/>
          <w:p>
            <w:pPr>
              <w:pStyle w:val="Compact"/>
              <w:jc w:val="left"/>
            </w:pPr>
            <w:r>
              <w:t xml:space="preserve">High (1.3)</w:t>
            </w:r>
          </w:p>
        </w:tc>
        <w:tc>
          <w:tcPr/>
          <w:p>
            <w:pPr>
              <w:pStyle w:val="Compact"/>
              <w:jc w:val="left"/>
            </w:pPr>
            <w:r>
              <w:t xml:space="preserve">Datasets, grid factors, and fuel inventories are baseline 2024–2026; chemical precursor databases updated to 2025/2026 releases.</w:t>
            </w:r>
          </w:p>
        </w:tc>
      </w:tr>
      <w:tr>
        <w:tc>
          <w:tcPr/>
          <w:p>
            <w:pPr>
              <w:pStyle w:val="Compact"/>
              <w:jc w:val="left"/>
            </w:pPr>
            <w:r>
              <w:rPr>
                <w:bCs/>
                <w:b/>
              </w:rPr>
              <w:t xml:space="preserve">Completeness (C)</w:t>
            </w:r>
          </w:p>
        </w:tc>
        <w:tc>
          <w:tcPr/>
          <w:p>
            <w:pPr>
              <w:pStyle w:val="Compact"/>
              <w:jc w:val="left"/>
            </w:pPr>
            <w:r>
              <w:t xml:space="preserve">Excellent (1.1)</w:t>
            </w:r>
          </w:p>
        </w:tc>
        <w:tc>
          <w:tcPr/>
          <w:p>
            <w:pPr>
              <w:pStyle w:val="Compact"/>
              <w:jc w:val="left"/>
            </w:pPr>
            <w:r>
              <w:t xml:space="preserve">Scope 3 upstream coverage evaluated at 96.9%, including capital goods proxy, WTT energy losses, and specialized wastewater destruction.</w:t>
            </w:r>
          </w:p>
        </w:tc>
      </w:tr>
      <w:tr>
        <w:tc>
          <w:tcPr/>
          <w:p>
            <w:pPr>
              <w:pStyle w:val="Compact"/>
              <w:jc w:val="left"/>
            </w:pPr>
            <w:r>
              <w:rPr>
                <w:bCs/>
                <w:b/>
              </w:rPr>
              <w:t xml:space="preserve">Reliability &amp; Precision (P)</w:t>
            </w:r>
          </w:p>
        </w:tc>
        <w:tc>
          <w:tcPr/>
          <w:p>
            <w:pPr>
              <w:pStyle w:val="Compact"/>
              <w:jc w:val="left"/>
            </w:pPr>
            <w:r>
              <w:t xml:space="preserve">Good (1.6)</w:t>
            </w:r>
          </w:p>
        </w:tc>
        <w:tc>
          <w:tcPr/>
          <w:p>
            <w:pPr>
              <w:pStyle w:val="Compact"/>
              <w:jc w:val="left"/>
            </w:pPr>
            <w:r>
              <w:t xml:space="preserve">Stoichiometric mass balances validated by actual factory batch records and audited environmental clearance permits.</w:t>
            </w:r>
          </w:p>
        </w:tc>
      </w:tr>
    </w:tbl>
    <w:bookmarkEnd w:id="32"/>
    <w:bookmarkStart w:id="33" w:name="decarbonization-roadmap-reduction-levers"/>
    <w:p>
      <w:pPr>
        <w:pStyle w:val="Heading2"/>
      </w:pPr>
      <w:r>
        <w:t xml:space="preserve">5.3 Decarbonization Roadmap &amp; Reduction Levers</w:t>
      </w:r>
    </w:p>
    <w:p>
      <w:pPr>
        <w:numPr>
          <w:ilvl w:val="0"/>
          <w:numId w:val="1010"/>
        </w:numPr>
        <w:pStyle w:val="Compact"/>
      </w:pPr>
      <w:r>
        <w:rPr>
          <w:bCs/>
          <w:b/>
        </w:rPr>
        <w:t xml:space="preserve">PPAs &amp; Rooftop Solar Integration (Potential Footprint Reduction: -16.5%):</w:t>
      </w:r>
      <w:r>
        <w:t xml:space="preserve"> </w:t>
      </w:r>
      <w:r>
        <w:t xml:space="preserve">Shifting facility electricity to 100% renewable energy via Group Captive Open Access Solar/Wind Power Purchase Agreements (PPAs) would eliminate virtually all Scope 2 emissions, reducing the footprint by approximately 1.55 kg CO</w:t>
      </w:r>
      <w:r>
        <w:rPr>
          <w:vertAlign w:val="subscript"/>
        </w:rPr>
        <w:t xml:space="preserve">2</w:t>
      </w:r>
      <w:r>
        <w:t xml:space="preserve">e/kg.</w:t>
      </w:r>
    </w:p>
    <w:p>
      <w:pPr>
        <w:numPr>
          <w:ilvl w:val="0"/>
          <w:numId w:val="1010"/>
        </w:numPr>
        <w:pStyle w:val="Compact"/>
      </w:pPr>
      <w:r>
        <w:rPr>
          <w:bCs/>
          <w:b/>
        </w:rPr>
        <w:t xml:space="preserve">Green Hydrogen / Biomass Steam Generation (Potential Reduction: -9.5%):</w:t>
      </w:r>
      <w:r>
        <w:t xml:space="preserve"> </w:t>
      </w:r>
      <w:r>
        <w:t xml:space="preserve">Replacing natural gas or coal boilers with certified sustainable agro-residue biomass briquettes (e.g., groundnut shells, mustard husk commonly available in Gujarat/Telangana) would reduce Scope 1 process thermal emissions by 0.78 kg CO</w:t>
      </w:r>
      <w:r>
        <w:rPr>
          <w:vertAlign w:val="subscript"/>
        </w:rPr>
        <w:t xml:space="preserve">2</w:t>
      </w:r>
      <w:r>
        <w:t xml:space="preserve">e/kg.</w:t>
      </w:r>
    </w:p>
    <w:p>
      <w:pPr>
        <w:numPr>
          <w:ilvl w:val="0"/>
          <w:numId w:val="1010"/>
        </w:numPr>
        <w:pStyle w:val="Compact"/>
      </w:pPr>
      <w:r>
        <w:rPr>
          <w:bCs/>
          <w:b/>
        </w:rPr>
        <w:t xml:space="preserve">Low-Carbon DCDA Procurement (Potential Reduction: -12.0%):</w:t>
      </w:r>
      <w:r>
        <w:t xml:space="preserve"> </w:t>
      </w:r>
      <w:r>
        <w:t xml:space="preserve">Partnering with DCDA manufacturers utilizing zero-carbon hydropower (e.g., in Sichuan or Yunnan corridors) or closed-loop synthetic routes reduces precursor footprint by over 35%.</w:t>
      </w:r>
    </w:p>
    <w:p>
      <w:pPr>
        <w:numPr>
          <w:ilvl w:val="0"/>
          <w:numId w:val="1010"/>
        </w:numPr>
        <w:pStyle w:val="Compact"/>
      </w:pPr>
      <w:r>
        <w:rPr>
          <w:bCs/>
          <w:b/>
        </w:rPr>
        <w:t xml:space="preserve">Advanced Mother-Liquor Recovery:</w:t>
      </w:r>
      <w:r>
        <w:t xml:space="preserve"> </w:t>
      </w:r>
      <w:r>
        <w:t xml:space="preserve">Upgrading from conventional distillation to hybrid vapor recompression (MVR) systems can cut steam requirements for solvent recovery by up to 40%.</w:t>
      </w:r>
    </w:p>
    <w:p>
      <w:r>
        <w:pict>
          <v:rect style="width:0;height:1.5pt" o:hralign="center" o:hrstd="t" o:hr="t"/>
        </w:pict>
      </w:r>
    </w:p>
    <w:p>
      <w:pPr>
        <w:pStyle w:val="FirstParagraph"/>
      </w:pPr>
      <w:r>
        <w:t xml:space="preserve">Confidential • Prepared for Internal Corporate Use &amp; ESG Assurance</w:t>
      </w:r>
      <w:r>
        <w:t xml:space="preserve"> </w:t>
      </w:r>
      <w:r>
        <w:t xml:space="preserve">Standard: GHG Protocol Product Standard (2026 LSR Compliant)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Metformin Hydrochloride API (1.0 kg)</dc:title>
  <dc:creator/>
  <dc:description>Comprehensive Product Carbon Footprint (PCF) report for 1.0 kg Metformin Hydrochloride API manufactured in India, compliant with GHG Protocol Product Standard and 2026 LSR updates.</dc:description>
  <dc:language>en</dc:language>
  <cp:keywords/>
  <dcterms:created xsi:type="dcterms:W3CDTF">2026-10-19T14:59:55Z</dcterms:created>
  <dcterms:modified xsi:type="dcterms:W3CDTF">2026-10-19T14:59:55Z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