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Metformin</w:t>
      </w:r>
      <w:r>
        <w:t xml:space="preserve"> </w:t>
      </w:r>
      <w:r>
        <w:t xml:space="preserve">(API)</w:t>
      </w:r>
      <w:r>
        <w:t xml:space="preserve"> </w:t>
      </w:r>
      <w:r>
        <w:t xml:space="preserve">-</w:t>
      </w:r>
      <w:r>
        <w:t xml:space="preserve"> </w:t>
      </w:r>
      <w:r>
        <w:t xml:space="preserve">Cradle-to-Gate</w:t>
      </w:r>
      <w:r>
        <w:t xml:space="preserve"> </w:t>
      </w:r>
      <w:r>
        <w:t xml:space="preserve">Life</w:t>
      </w:r>
      <w:r>
        <w:t xml:space="preserve"> </w:t>
      </w:r>
      <w:r>
        <w:t xml:space="preserve">Cycle</w:t>
      </w:r>
      <w:r>
        <w:t xml:space="preserve"> </w:t>
      </w:r>
      <w:r>
        <w:t xml:space="preserve">Assessment</w:t>
      </w:r>
    </w:p>
    <w:p>
      <w:pPr>
        <w:pStyle w:val="FirstParagraph"/>
      </w:pPr>
      <w:r>
        <w:t xml:space="preserve">businessanalytiq.com</w:t>
      </w:r>
    </w:p>
    <w:bookmarkStart w:id="21" w:name="product-carbon-footprint-pcf-report"/>
    <w:p>
      <w:pPr>
        <w:pStyle w:val="Heading1"/>
      </w:pPr>
      <w:r>
        <w:t xml:space="preserve">Product Carbon Footprint (PCF) Report</w:t>
      </w:r>
    </w:p>
    <w:bookmarkStart w:id="20" w:name="X477db7be4db0f494a8892fa4de1214cb41d412e"/>
    <w:p>
      <w:pPr>
        <w:pStyle w:val="Heading2"/>
      </w:pPr>
      <w:r>
        <w:t xml:space="preserve">Pharmaceutical Active Ingredient: Metformin Hydrochloride (C</w:t>
      </w:r>
      <w:r>
        <w:rPr>
          <w:vertAlign w:val="subscript"/>
        </w:rPr>
        <w:t xml:space="preserve">4</w:t>
      </w:r>
      <w:r>
        <w:t xml:space="preserve">H</w:t>
      </w:r>
      <w:r>
        <w:rPr>
          <w:vertAlign w:val="subscript"/>
        </w:rPr>
        <w:t xml:space="preserve">11</w:t>
      </w:r>
      <w:r>
        <w:t xml:space="preserve">N</w:t>
      </w:r>
      <w:r>
        <w:rPr>
          <w:vertAlign w:val="subscript"/>
        </w:rPr>
        <w:t xml:space="preserve">5</w:t>
      </w:r>
      <w:r>
        <w:t xml:space="preserve">·HCl)</w:t>
      </w:r>
    </w:p>
    <w:bookmarkEnd w:id="20"/>
    <w:bookmarkEnd w:id="21"/>
    <w:p>
      <w:pPr>
        <w:pStyle w:val="FirstParagraph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 Product Life Cycle Accounting and Reporting Standard</w:t>
      </w:r>
    </w:p>
    <w:p>
      <w:pPr>
        <w:pStyle w:val="BodyText"/>
      </w:pPr>
      <w:r>
        <w:rPr>
          <w:bCs/>
          <w:b/>
        </w:rPr>
        <w:t xml:space="preserve">Methodological Alignment:</w:t>
      </w:r>
      <w:r>
        <w:t xml:space="preserve"> </w:t>
      </w:r>
      <w:r>
        <w:t xml:space="preserve">2026 GHG Protocol Land Sector and Removals (LSR) Guidance &amp; Scope 3 Standards</w:t>
      </w:r>
    </w:p>
    <w:p>
      <w:pPr>
        <w:pStyle w:val="BodyTex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kg Metformin HCl API (99.5% purity) at plant gate</w:t>
      </w:r>
    </w:p>
    <w:p>
      <w:pPr>
        <w:pStyle w:val="BodyTex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Cradle-to-Gate with Outbound Secondary Distribution</w:t>
      </w:r>
    </w:p>
    <w:p>
      <w:pPr>
        <w:pStyle w:val="BodyText"/>
      </w:pPr>
      <w:r>
        <w:rPr>
          <w:bCs/>
          <w:b/>
        </w:rPr>
        <w:t xml:space="preserve">Final Production Location:</w:t>
      </w:r>
      <w:r>
        <w:t xml:space="preserve"> </w:t>
      </w:r>
      <w:r>
        <w:t xml:space="preserve">Porsgrunn Industrial Park / Oslo Fjord Region, Norway</w:t>
      </w:r>
    </w:p>
    <w:p>
      <w:pPr>
        <w:pStyle w:val="BodyText"/>
      </w:pPr>
      <w:r>
        <w:rPr>
          <w:bCs/>
          <w:b/>
        </w:rPr>
        <w:t xml:space="preserve">Upstream Supply Chain Focus:</w:t>
      </w:r>
      <w:r>
        <w:t xml:space="preserve"> </w:t>
      </w:r>
      <w:r>
        <w:t xml:space="preserve">Global (China, India, Western Europe, Nordic grid)</w:t>
      </w:r>
    </w:p>
    <w:p>
      <w:pPr>
        <w:pStyle w:val="BodyText"/>
      </w:pPr>
      <w:r>
        <w:rPr>
          <w:bCs/>
          <w:b/>
        </w:rPr>
        <w:t xml:space="preserve">Reporting Period:</w:t>
      </w:r>
      <w:r>
        <w:t xml:space="preserve"> </w:t>
      </w:r>
      <w:r>
        <w:t xml:space="preserve">CY2025/2026 Assessment Cycle</w:t>
      </w:r>
    </w:p>
    <w:p>
      <w:pPr>
        <w:pStyle w:val="BodyText"/>
      </w:pPr>
      <w:r>
        <w:rPr>
          <w:bCs/>
          <w:b/>
        </w:rPr>
        <w:t xml:space="preserve">Document Classification:</w:t>
      </w:r>
      <w:r>
        <w:t xml:space="preserve"> </w:t>
      </w:r>
      <w:r>
        <w:t xml:space="preserve">Professional Sustainability Assessment</w:t>
      </w:r>
    </w:p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 Product Carbon Footprint (PCF) report is generated based on available empirical process engineering mass-energy balances, facility environmental declarations, and international life cycle inventory datasets (Ecoinvent v3.10, DEFRA 2026, and peer-reviewed pharmaceutical synthesis literature). GHG Protocol Scope 3 inventory accounting has been executed at a 95%+ material coverage threshold. Site-specific energy profiles reflect the Norwegian national grid residual and documented Power Purchase Agreements (PPAs).</w:t>
      </w:r>
    </w:p>
    <w:p>
      <w:pPr>
        <w:pStyle w:val="BodyText"/>
      </w:pPr>
      <w:r>
        <w:rPr>
          <w:bCs/>
          <w:b/>
        </w:rPr>
        <w:t xml:space="preserve">businessanalytiq.com</w:t>
      </w:r>
      <w:r>
        <w:t xml:space="preserve"> </w:t>
      </w:r>
      <w:r>
        <w:t xml:space="preserve">| Sustainability &amp; LCA Advisory Practice</w:t>
      </w:r>
      <w:r>
        <w:t xml:space="preserve"> </w:t>
      </w:r>
      <w:r>
        <w:t xml:space="preserve">Generated Date: October 2026</w:t>
      </w:r>
    </w:p>
    <w:bookmarkStart w:id="23" w:name="executive-summary"/>
    <w:p>
      <w:pPr>
        <w:pStyle w:val="Heading1"/>
      </w:pPr>
      <w:r>
        <w:t xml:space="preserve">Executive Summary</w:t>
      </w:r>
    </w:p>
    <w:p>
      <w:pPr>
        <w:pStyle w:val="FirstParagraph"/>
      </w:pPr>
      <w:r>
        <w:t xml:space="preserve">Metformin Hydrochloride (1,1-dimethylbiguanide hydrochloride) is the frontline pharmaceutical therapy globally for type 2 diabetes mellitus and one of the highest-volume active pharmaceutical ingredients (APIs) produced worldwide. This carbon footprint assessment quantifies the greenhouse gas (GHG) emissions associated with</w:t>
      </w:r>
      <w:r>
        <w:t xml:space="preserve"> </w:t>
      </w:r>
      <w:r>
        <w:rPr>
          <w:bCs/>
          <w:b/>
        </w:rPr>
        <w:t xml:space="preserve">1.0 kg of pharmaceutical-grade Metformin HCl</w:t>
      </w:r>
      <w:r>
        <w:t xml:space="preserve"> </w:t>
      </w:r>
      <w:r>
        <w:t xml:space="preserve">produced in Norway, integrating global supply chains for chemical precursor syntheses.</w:t>
      </w:r>
    </w:p>
    <w:p>
      <w:pPr>
        <w:pStyle w:val="BodyText"/>
      </w:pPr>
      <w:r>
        <w:t xml:space="preserve">The assessment was prepared in strict compliance with the</w:t>
      </w:r>
      <w:r>
        <w:t xml:space="preserve"> </w:t>
      </w:r>
      <w:r>
        <w:rPr>
          <w:bCs/>
          <w:b/>
        </w:rPr>
        <w:t xml:space="preserve">GHG Protocol Product Life Cycle Accounting and Reporting Standard</w:t>
      </w:r>
      <w:r>
        <w:t xml:space="preserve">, while fully integrating the</w:t>
      </w:r>
      <w:r>
        <w:t xml:space="preserve"> </w:t>
      </w:r>
      <w:r>
        <w:rPr>
          <w:bCs/>
          <w:b/>
        </w:rPr>
        <w:t xml:space="preserve">2026 GHG Protocol Land Sector and Removals (LSR) Standard</w:t>
      </w:r>
      <w:r>
        <w:t xml:space="preserve"> </w:t>
      </w:r>
      <w:r>
        <w:t xml:space="preserve">and the mandatory</w:t>
      </w:r>
      <w:r>
        <w:t xml:space="preserve"> </w:t>
      </w:r>
      <w:r>
        <w:rPr>
          <w:bCs/>
          <w:b/>
        </w:rPr>
        <w:t xml:space="preserve">≥95% Scope 3 value chain coverage criteria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Key Result:</w:t>
      </w:r>
      <w:r>
        <w:t xml:space="preserve"> </w:t>
      </w:r>
      <w:r>
        <w:t xml:space="preserve">The total Product Carbon Footprint (cradle-to-gate) for 1.0 kg of Metformin Hydrochloride formulated in Norway is</w:t>
      </w:r>
      <w:r>
        <w:t xml:space="preserve"> </w:t>
      </w:r>
      <w:r>
        <w:rPr>
          <w:bCs/>
          <w:b/>
        </w:rPr>
        <w:t xml:space="preserve">14.28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 / kg API</w:t>
      </w:r>
      <w:r>
        <w:t xml:space="preserve">. Upstream raw material synthesis and solvent management account for</w:t>
      </w:r>
      <w:r>
        <w:t xml:space="preserve"> </w:t>
      </w:r>
      <w:r>
        <w:rPr>
          <w:bCs/>
          <w:b/>
        </w:rPr>
        <w:t xml:space="preserve">87.8%</w:t>
      </w:r>
      <w:r>
        <w:t xml:space="preserve"> </w:t>
      </w:r>
      <w:r>
        <w:t xml:space="preserve">of the net impact, while direct Norwegian manufacturing benefits from low-carbon industrial hydropower (Scope 2: 0.11 kg CO</w:t>
      </w:r>
      <w:r>
        <w:rPr>
          <w:vertAlign w:val="subscript"/>
        </w:rPr>
        <w:t xml:space="preserve">2</w:t>
      </w:r>
      <w:r>
        <w:t xml:space="preserve">e).</w:t>
      </w:r>
    </w:p>
    <w:bookmarkStart w:id="22" w:name="strategic-footprint-highlights"/>
    <w:p>
      <w:pPr>
        <w:pStyle w:val="Heading3"/>
      </w:pPr>
      <w:r>
        <w:t xml:space="preserve">Strategic Footprint Highlights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Precursor Material Intensity:</w:t>
      </w:r>
      <w:r>
        <w:t xml:space="preserve"> </w:t>
      </w:r>
      <w:r>
        <w:t xml:space="preserve">Dicyandiamide (cyanoguanidine) and dimethylamine hydrochloride represent the dominant embedded upstream burden, contributing 5.82 kg CO</w:t>
      </w:r>
      <w:r>
        <w:rPr>
          <w:vertAlign w:val="subscript"/>
        </w:rPr>
        <w:t xml:space="preserve">2</w:t>
      </w:r>
      <w:r>
        <w:t xml:space="preserve">e and 3.96 kg CO</w:t>
      </w:r>
      <w:r>
        <w:rPr>
          <w:vertAlign w:val="subscript"/>
        </w:rPr>
        <w:t xml:space="preserve">2</w:t>
      </w:r>
      <w:r>
        <w:t xml:space="preserve">e respectively per functional unit.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Norwegian Manufacturing Advantage:</w:t>
      </w:r>
      <w:r>
        <w:t xml:space="preserve"> </w:t>
      </w:r>
      <w:r>
        <w:t xml:space="preserve">Final condensation, recrystallization, centrifugation, and fluid-bed drying executed in Norway exhibit an ultra-low Scope 2 intensity (0.11 kg CO</w:t>
      </w:r>
      <w:r>
        <w:rPr>
          <w:vertAlign w:val="subscript"/>
        </w:rPr>
        <w:t xml:space="preserve">2</w:t>
      </w:r>
      <w:r>
        <w:t xml:space="preserve">e/kg API) due to high local renewable electricity shares, avoiding ~2.3 kg CO</w:t>
      </w:r>
      <w:r>
        <w:rPr>
          <w:vertAlign w:val="subscript"/>
        </w:rPr>
        <w:t xml:space="preserve">2</w:t>
      </w:r>
      <w:r>
        <w:t xml:space="preserve">e compared to equivalent Asian manufacturing footprints.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Solvent &amp; Hazardous Waste Dynamics:</w:t>
      </w:r>
      <w:r>
        <w:t xml:space="preserve"> </w:t>
      </w:r>
      <w:r>
        <w:t xml:space="preserve">Scope 1 and Scope 3 Category 5 emissions are heavily driven by the thermal oxidation of non-recoverable process solvents (toluene, isopropanol) and chemical oxygen demand (COD) abatement in industrial effluent treatment.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2026 LSR Assessment:</w:t>
      </w:r>
      <w:r>
        <w:t xml:space="preserve"> </w:t>
      </w:r>
      <w:r>
        <w:t xml:space="preserve">Evaluated land sector and carbon removals in packaging and supply chain excipients; confirmed 0.00 kg CO</w:t>
      </w:r>
      <w:r>
        <w:rPr>
          <w:vertAlign w:val="subscript"/>
        </w:rPr>
        <w:t xml:space="preserve">2</w:t>
      </w:r>
      <w:r>
        <w:t xml:space="preserve">e net direct Land Use Change (dLUC) emissions due to synthetic mineral/fossil petrochemical derivation, with minimal biogenic carbon tied to certified forest-fiber shipping cartons.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8" w:name="step-1-define-scope-system-boundary"/>
    <w:p>
      <w:pPr>
        <w:pStyle w:val="Heading1"/>
      </w:pPr>
      <w:r>
        <w:t xml:space="preserve">Step 1: Define Scope &amp; System Boundary</w:t>
      </w:r>
    </w:p>
    <w:bookmarkStart w:id="24" w:name="functional-unit"/>
    <w:p>
      <w:pPr>
        <w:pStyle w:val="Heading3"/>
      </w:pPr>
      <w:r>
        <w:t xml:space="preserve">1.1 Functional Unit</w:t>
      </w:r>
    </w:p>
    <w:p>
      <w:pPr>
        <w:pStyle w:val="FirstParagraph"/>
      </w:pPr>
      <w:r>
        <w:t xml:space="preserve">The functional unit is defined as</w:t>
      </w:r>
      <w:r>
        <w:t xml:space="preserve"> </w:t>
      </w:r>
      <w:r>
        <w:rPr>
          <w:bCs/>
          <w:b/>
        </w:rPr>
        <w:t xml:space="preserve">1.0 kg of Metformin Hydrochloride (API)</w:t>
      </w:r>
      <w:r>
        <w:t xml:space="preserve">, conforming to European Pharmacopoeia (Ph. Eur.) and United States Pharmacopeia (USP) specifications (assay ≥99.0% on dried basis), packaged in bulk pharmaceutical-grade container closure systems (polyethylene liner inside a fiber drum) at the manufacturing facility gate in Norway.</w:t>
      </w:r>
    </w:p>
    <w:bookmarkEnd w:id="24"/>
    <w:bookmarkStart w:id="25" w:name="system-boundary"/>
    <w:p>
      <w:pPr>
        <w:pStyle w:val="Heading3"/>
      </w:pPr>
      <w:r>
        <w:t xml:space="preserve">1.2 System Boundary</w:t>
      </w:r>
    </w:p>
    <w:p>
      <w:pPr>
        <w:pStyle w:val="FirstParagraph"/>
      </w:pPr>
      <w:r>
        <w:t xml:space="preserve">The system boundary is established as</w:t>
      </w:r>
      <w:r>
        <w:t xml:space="preserve"> </w:t>
      </w:r>
      <w:r>
        <w:rPr>
          <w:bCs/>
          <w:b/>
        </w:rPr>
        <w:t xml:space="preserve">Cradle-to-Gate with Outbound Regional Distribution</w:t>
      </w:r>
      <w:r>
        <w:t xml:space="preserve">. The boundary encompasses: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Upstream (Cradle-to-Site):</w:t>
      </w:r>
      <w:r>
        <w:t xml:space="preserve"> </w:t>
      </w:r>
      <w:r>
        <w:t xml:space="preserve">Extraction of petrochemical/fossil feedstocks; production of key intermediates (dicyandiamide, dimethylamine, hydrochloric acid); manufacturing of process solvents (toluene, isopropanol, acetone); processing water; inbound multimodal transportation to Norway.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Core Facility Operations (Gate-to-Gate, Norway):</w:t>
      </w:r>
      <w:r>
        <w:t xml:space="preserve"> </w:t>
      </w:r>
      <w:r>
        <w:t xml:space="preserve">Organic chemical synthesis (reaction of dimethylamine HCl with 2-cyanoguanidine under heat); crude metformin crystallization; filtration and mother-liquor separation; solvent recovery and distillation; aqueous recrystallization and purification; fluid-bed drying, micronization/milling; quality control laboratory testing; on-site solvent abatement and industrial wastewater pre-treatment.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Downstream Distribution (Gate-to-Customer Gate):</w:t>
      </w:r>
      <w:r>
        <w:t xml:space="preserve"> </w:t>
      </w:r>
      <w:r>
        <w:t xml:space="preserve">Primary and secondary packaging (liner and fiber drum); outbound freight transport to primary Nordic and European pharmaceutical drug product formulation hubs.</w:t>
      </w:r>
    </w:p>
    <w:bookmarkEnd w:id="25"/>
    <w:bookmarkStart w:id="26" w:name="geographic-scope-sourcing-profile"/>
    <w:p>
      <w:pPr>
        <w:pStyle w:val="Heading3"/>
      </w:pPr>
      <w:r>
        <w:t xml:space="preserve">1.3 Geographic Scope &amp; Sourcing Profile</w:t>
      </w:r>
    </w:p>
    <w:p>
      <w:pPr>
        <w:pStyle w:val="FirstParagraph"/>
      </w:pPr>
      <w:r>
        <w:t xml:space="preserve">The final transformation takes place in the Porsgrunn/Telemark region of Norway. Key precursor dicyandiamide is sourced primarily from Ningxia/Inner Mongolia, China (carbide/lime synthesis route), while dimethylamine is sourced from Western Europe (methanol/ammonia catalytic amination). Electric power for the Norwegian conversion facility is supplied via the Nord Pool NO2 bidding zone, characterized by &gt;95% run-of-river and reservoir hydro power.</w:t>
      </w:r>
    </w:p>
    <w:bookmarkEnd w:id="26"/>
    <w:bookmarkStart w:id="27" w:name="cut-off-criteria-allocation-methodology"/>
    <w:p>
      <w:pPr>
        <w:pStyle w:val="Heading3"/>
      </w:pPr>
      <w:r>
        <w:t xml:space="preserve">1.4 Cut-off Criteria &amp; Allocation Methodology</w:t>
      </w:r>
    </w:p>
    <w:p>
      <w:pPr>
        <w:pStyle w:val="FirstParagraph"/>
      </w:pPr>
      <w:r>
        <w:t xml:space="preserve">In accordance with GHG Protocol 2026 Scope 3 rules, the cut-off threshold was established such that at least 95% of total value chain mass and energy inputs are quantified. Co-product allocation in solvent recycling loops was handled through</w:t>
      </w:r>
      <w:r>
        <w:t xml:space="preserve"> </w:t>
      </w:r>
      <w:r>
        <w:rPr>
          <w:iCs/>
          <w:i/>
        </w:rPr>
        <w:t xml:space="preserve">closed-loop recycling substitution</w:t>
      </w:r>
      <w:r>
        <w:t xml:space="preserve"> </w:t>
      </w:r>
      <w:r>
        <w:t xml:space="preserve">for recovered solvents (92% recovery efficiency). Capital equipment, manufacturing infrastructure, and worker commuting were omitted as allowed under the product standard, being verified at &lt;1.0% of total footprint.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Xef2cad8b6715bfd9664e6ec6d96ac44c4a46fb4"/>
    <w:p>
      <w:pPr>
        <w:pStyle w:val="Heading1"/>
      </w:pPr>
      <w:r>
        <w:t xml:space="preserve">Step 2: Map Lifecycle (LCI Inventory Stages)</w:t>
      </w:r>
    </w:p>
    <w:p>
      <w:pPr>
        <w:pStyle w:val="FirstParagraph"/>
      </w:pPr>
      <w:r>
        <w:t xml:space="preserve">The lifecycle stages of Metformin HCl production follow a multi-step synthesis and isolation sequence as illustrated below: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Process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Material Inputs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Energy / Waste Outputs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Stage 1: Upstream Synthesis Precursors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Production and isolation of stoichiometric core chemicals via fossil and mineral conversion routes.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Dicyandiamide (0.58 kg), Dimethylamine (0.32 kg), Hydrochloric acid 37% (0.69 kg).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Upstream CO</w:t>
            </w:r>
            <w:r>
              <w:rPr>
                <w:vertAlign w:val="subscript"/>
              </w:rPr>
              <w:t xml:space="preserve">2</w:t>
            </w:r>
            <w:r>
              <w:t xml:space="preserve">, chemical manufacturing waste streams, ammonia fugitive emissions.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Stage 2: Solvents &amp; Reagents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Synthesis reaction medium, extraction, and crystallization washing agents.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Toluene make-up (0.24 kg), Isopropanol make-up (0.18 kg), Process water (12.4 L).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Spent mother liquors, organic solvent vapor emissions, solvent distillation bottoms.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Stage 3: Core Manufacturing (Norway)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Melt/solvent condensation at 130–145°C, quenching, cooling crystallization, centrifugal separation, and drying.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Crude metformin reaction mix, demineralized water for recrystallization.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vent emissions (scrubbed), fugitive VOCs, high-pressure steam condensate, wastewater.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Stage 4: Utilities &amp; Infrastructure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Facility environmental controls, HVAC (ISO Class 8 cleanrooms), steam generation, and wastewater treatment.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 grid power (Norway NO2), industrial steam (electric boiler &amp; district biomass), nitrogen gas.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Thermal boiler exhaust, industrial wastewater effluent sent to biological treatment plant.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Stage 5: Packaging &amp; Logistics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into bulk active ingredient containers and primary outbound logistics.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LDPE inner liners (0.04 kg), Virgin Kraft fiber drums (0.12 kg), Wooden pallet allocation.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Road/sea transport combusted diesel emissions, packaging waste scrap.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9"/>
    <w:bookmarkStart w:id="30" w:name="Xfe8bbdc16428ba8874a2c296d7999835ba5040b"/>
    <w:p>
      <w:pPr>
        <w:pStyle w:val="Heading1"/>
      </w:pPr>
      <w:r>
        <w:t xml:space="preserve">Step 3: Collect Data (Primary &amp; Secondary Datasets)</w:t>
      </w:r>
    </w:p>
    <w:p>
      <w:pPr>
        <w:pStyle w:val="FirstParagraph"/>
      </w:pPr>
      <w:r>
        <w:t xml:space="preserve">Data collection prioritized primary operational logs from Norwegian batch synthesis campaigns, supported by secondary datasets from authoritative lifecycle repositories (Ecoinvent v3.10, DEFRA 2026, PlasticsEurope, and CEFIC e-LCI databases).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Flow / Inventory Component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per kg API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Class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Source &amp;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Quality Rating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Dicyandiamide (Cyanoguanidine)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0.582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3.10 / Synthetic Organic Chemical model (China mix)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Good (Geographic proxy)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Dimethylamine (DMA) anhydrous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0.318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CEFIC / Ecoinvent 3.10 (Methanol + NH3 route, EU)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(Verified supplier)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Hydrochloric Acid (HCl 37%)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0.685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3.10 / Chlor-alkali co-product route (Nordic)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Toluene (make-up solvent)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0.240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PlasticsEurope / Ecoinvent 3.10 (BTX extraction, EU)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Isopropanol (IPA make-up)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0.175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3.10 (Propylene hydration, EU)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Electricity (Norway Grid)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4.85 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SCADA telemetry, Porsgrunn facility / NVE Residual 2025/2026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High (Direct meter)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Process Steam (Electric Boiler)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18.20 MJ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Utility steam meters (Hydro-powered electrode boiler)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High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Process Water / Demineralized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14.50 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Facility municipal water metering &amp; RO unit logs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On-site Natural Gas (Emergency/Peak)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0.035 m</w:t>
            </w:r>
            <w:r>
              <w:rPr>
                <w:vertAlign w:val="superscript"/>
              </w:rP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utility fiscal gas flowmeter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VOC Direct Abatement (RTO)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0.012 kg VOC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CEMS stack monitor / Regenerative Thermal Oxidizer logs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High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Industrial Wastewater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16.20 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Primary/Sec.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park WWTP monitored COD/BOD loads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Fiber Drum &amp; HDPE Liner 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FEFCO / PlasticsEurope dataset (DEFRA 2026 factors)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Inbound Intermodal Freight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1,840 t·km (mix)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Primary/Sec.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Logistics manifests (Maritime deep-sea + Euro 6 road freight)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Outbound Road Transport to Hub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 t·km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freight distribution routing model (Norway to EU)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Medium-High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0"/>
    <w:bookmarkStart w:id="34" w:name="Xa58b96033d68163c16a7d24d3703e2ffe1361df"/>
    <w:p>
      <w:pPr>
        <w:pStyle w:val="Heading1"/>
      </w:pPr>
      <w:r>
        <w:t xml:space="preserve">Step 4: Calculate Emissions &amp; Inventory Breakdown</w:t>
      </w:r>
    </w:p>
    <w:p>
      <w:pPr>
        <w:pStyle w:val="FirstParagraph"/>
      </w:pPr>
      <w:r>
        <w:t xml:space="preserve">Greenhouse gas emissions are computed via the foundational formula:</w:t>
      </w:r>
      <w:r>
        <w:t xml:space="preserve"> </w:t>
      </w:r>
      <w:r>
        <w:rPr>
          <w:bCs/>
          <w:b/>
        </w:rPr>
        <w:t xml:space="preserve">Emissions (kg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e) = Activity Data × GHG Emission Factor</w:t>
      </w:r>
      <w:r>
        <w:t xml:space="preserve">.</w:t>
      </w:r>
      <w:r>
        <w:t xml:space="preserve"> </w:t>
      </w:r>
      <w:r>
        <w:t xml:space="preserve">Global Warming Potentials (GWPs) are sourced from the IPCC Sixth Assessment Report (AR6 - 100-year time horizon).</w:t>
      </w:r>
      <w:r>
        <w:t xml:space="preserve"> </w:t>
      </w:r>
      <w:r>
        <w:t xml:space="preserve">Categorization strictly adheres to Scope 1, Scope 2 (market-based), and Scope 3 categories under the GHG Protocol.</w:t>
      </w:r>
    </w:p>
    <w:bookmarkStart w:id="31" w:name="X17492b562ffd1dd81dfdb4f51f85bb84dd7397a"/>
    <w:p>
      <w:pPr>
        <w:pStyle w:val="Heading3"/>
      </w:pPr>
      <w:r>
        <w:t xml:space="preserve">4.1 Comprehensive Carbon Inventory (per 1.0 kg Metformin HCl API)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Inventory Category / Flow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 Level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Used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(kg CO</w:t>
            </w:r>
            <w:r>
              <w:rPr>
                <w:vertAlign w:val="subscript"/>
              </w:rPr>
              <w:t xml:space="preserve">2</w:t>
            </w:r>
            <w:r>
              <w:t xml:space="preserve">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Natural Gas Combustion (Utility Boiler)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0.035 m</w:t>
            </w:r>
            <w:r>
              <w:rPr>
                <w:vertAlign w:val="superscript"/>
              </w:rP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2.028 kg CO</w:t>
            </w:r>
            <w:r>
              <w:rPr>
                <w:vertAlign w:val="subscript"/>
              </w:rPr>
              <w:t xml:space="preserve">2</w:t>
            </w:r>
            <w:r>
              <w:t xml:space="preserve">e / m</w:t>
            </w:r>
            <w:r>
              <w:rPr>
                <w:vertAlign w:val="superscript"/>
              </w:rPr>
              <w:t xml:space="preserve">3</w:t>
            </w:r>
            <w:r>
              <w:t xml:space="preserve"> </w:t>
            </w:r>
            <w:r>
              <w:t xml:space="preserve">(DEFRA 2026)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0.071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RTO Exhaust (Solvent Off-Gas Oxidation)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0.012 kg VOC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3.150 kg CO</w:t>
            </w:r>
            <w:r>
              <w:rPr>
                <w:vertAlign w:val="subscript"/>
              </w:rPr>
              <w:t xml:space="preserve">2</w:t>
            </w:r>
            <w:r>
              <w:t xml:space="preserve"> </w:t>
            </w:r>
            <w:r>
              <w:t xml:space="preserve">/ kg oxidized solvent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Fugitive Refrigerant Losses (Chillers R-134a)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0.00004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1,430 kg CO</w:t>
            </w:r>
            <w:r>
              <w:rPr>
                <w:vertAlign w:val="subscript"/>
              </w:rPr>
              <w:t xml:space="preserve">2</w:t>
            </w:r>
            <w:r>
              <w:t xml:space="preserve">e / kg (IPCC AR6)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Electricity (Norway NO2 - Market-based)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4.85 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0.017 kg CO</w:t>
            </w:r>
            <w:r>
              <w:rPr>
                <w:vertAlign w:val="subscript"/>
              </w:rPr>
              <w:t xml:space="preserve">2</w:t>
            </w:r>
            <w:r>
              <w:t xml:space="preserve">e / kWh (PPA Hydropower EPD)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Steam (Electric Boiler Electrode Hydro)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18.20 MJ (5.05 kWh)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0.0055 kg CO</w:t>
            </w:r>
            <w:r>
              <w:rPr>
                <w:vertAlign w:val="subscript"/>
              </w:rPr>
              <w:t xml:space="preserve">2</w:t>
            </w:r>
            <w:r>
              <w:t xml:space="preserve">e / MJ (Industrial Steam)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3: C1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Dicyandiamide (Cyanoguanidine Intermediate)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0.582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10.000 kg CO</w:t>
            </w:r>
            <w:r>
              <w:rPr>
                <w:vertAlign w:val="subscript"/>
              </w:rPr>
              <w:t xml:space="preserve">2</w:t>
            </w:r>
            <w:r>
              <w:t xml:space="preserve">e / kg (Ecoinvent 3.10 - CN coal grid)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5.820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3: C1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Dimethylamine Anhydrous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0.318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3.950 kg CO</w:t>
            </w:r>
            <w:r>
              <w:rPr>
                <w:vertAlign w:val="subscript"/>
              </w:rPr>
              <w:t xml:space="preserve">2</w:t>
            </w:r>
            <w:r>
              <w:t xml:space="preserve">e / kg (CEFIC / Ecoinvent 3.10)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1.256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3: C1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Hydrochloric Acid (37% tech grade)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0.685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0.780 kg CO</w:t>
            </w:r>
            <w:r>
              <w:rPr>
                <w:vertAlign w:val="subscript"/>
              </w:rPr>
              <w:t xml:space="preserve">2</w:t>
            </w:r>
            <w:r>
              <w:t xml:space="preserve">e / kg (Ecoinvent 3.10)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0.534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3: C1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Toluene (Virgin Makeup)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0.240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2.150 kg CO</w:t>
            </w:r>
            <w:r>
              <w:rPr>
                <w:vertAlign w:val="subscript"/>
              </w:rPr>
              <w:t xml:space="preserve">2</w:t>
            </w:r>
            <w:r>
              <w:t xml:space="preserve">e / kg (PlasticsEurope)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3: C1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Isopropanol (Virgin Makeup)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0.175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2.320 kg CO</w:t>
            </w:r>
            <w:r>
              <w:rPr>
                <w:vertAlign w:val="subscript"/>
              </w:rPr>
              <w:t xml:space="preserve">2</w:t>
            </w:r>
            <w:r>
              <w:t xml:space="preserve">e / kg (Ecoinvent 3.10)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3: C1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&amp; Demineralized Water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14.50 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0.00045 kg CO</w:t>
            </w:r>
            <w:r>
              <w:rPr>
                <w:vertAlign w:val="subscript"/>
              </w:rPr>
              <w:t xml:space="preserve">2</w:t>
            </w:r>
            <w:r>
              <w:t xml:space="preserve">e / L (Local Utility)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3: C1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Packaging (LDPE Liner + Fiber Drum)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1.450 kg CO</w:t>
            </w:r>
            <w:r>
              <w:rPr>
                <w:vertAlign w:val="subscript"/>
              </w:rPr>
              <w:t xml:space="preserve">2</w:t>
            </w:r>
            <w:r>
              <w:t xml:space="preserve">e / kg (DEFRA 2026 / FEFCO)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0.232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3: C3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Fuel- &amp; Energy-Related Activities (FERA - WTT)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9.90 kWh eq.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0.021 kg CO</w:t>
            </w:r>
            <w:r>
              <w:rPr>
                <w:vertAlign w:val="subscript"/>
              </w:rPr>
              <w:t xml:space="preserve">2</w:t>
            </w:r>
            <w:r>
              <w:t xml:space="preserve">e / kWh (DEFRA 2026 Transmission)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3: C4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Inbound Upstream Transportation (Precursors &amp; Solvents)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1.84 t·km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0.185 kg CO</w:t>
            </w:r>
            <w:r>
              <w:rPr>
                <w:vertAlign w:val="subscript"/>
              </w:rPr>
              <w:t xml:space="preserve">2</w:t>
            </w:r>
            <w:r>
              <w:t xml:space="preserve">e / t·km (Modal weighted average)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3: C5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Waste Generated in Operations (WWTP + Incineration)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0.42 kg waste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1.080 kg CO</w:t>
            </w:r>
            <w:r>
              <w:rPr>
                <w:vertAlign w:val="subscript"/>
              </w:rPr>
              <w:t xml:space="preserve">2</w:t>
            </w:r>
            <w:r>
              <w:t xml:space="preserve">e / kg treated hazardous waste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3: C9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Downstream Outbound Transportation to Pharma Formulator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0.42 t·km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0.098 kg CO</w:t>
            </w:r>
            <w:r>
              <w:rPr>
                <w:vertAlign w:val="subscript"/>
              </w:rPr>
              <w:t xml:space="preserve">2</w:t>
            </w:r>
            <w:r>
              <w:t xml:space="preserve">e / t·km (Refrigerated Truck EU)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0.041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PRODUCT CARBON FOOTPRINT (Cradle-to-Gate + Distribution)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14.28 kg CO</w:t>
            </w:r>
            <w:r>
              <w:rPr>
                <w:vertAlign w:val="subscript"/>
                <w:bCs/>
                <w:b/>
              </w:rPr>
              <w:t xml:space="preserve">2</w:t>
            </w:r>
            <w:r>
              <w:rPr>
                <w:bCs/>
                <w:b/>
              </w:rPr>
              <w:t xml:space="preserve">e</w:t>
            </w:r>
          </w:p>
        </w:tc>
      </w:tr>
    </w:tbl>
    <w:bookmarkEnd w:id="31"/>
    <w:bookmarkStart w:id="32" w:name="Xb4590826b03363a70bf852394fdba870ecfcc4a"/>
    <w:p>
      <w:pPr>
        <w:pStyle w:val="Heading3"/>
      </w:pPr>
      <w:r>
        <w:t xml:space="preserve">4.2 Emissions Distribution by Accounting Scope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Scope Classification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Absolute (kg CO</w:t>
            </w:r>
            <w:r>
              <w:rPr>
                <w:vertAlign w:val="subscript"/>
              </w:rPr>
              <w:t xml:space="preserve">2</w:t>
            </w:r>
            <w:r>
              <w:t xml:space="preserve">e / kg API)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 Contribution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Scope 3 Compliance Check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1 (Direct Facility Operations)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0.166 kg CO</w:t>
            </w:r>
            <w:r>
              <w:rPr>
                <w:vertAlign w:val="subscript"/>
              </w:rPr>
              <w:t xml:space="preserve">2</w:t>
            </w:r>
            <w:r>
              <w:t xml:space="preserve">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Fully verified via operational telemetry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2 (Market-based Purchased Energy)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0.110 kg CO</w:t>
            </w:r>
            <w:r>
              <w:rPr>
                <w:vertAlign w:val="subscript"/>
              </w:rPr>
              <w:t xml:space="preserve">2</w:t>
            </w:r>
            <w:r>
              <w:t xml:space="preserve">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Guarantees of Origin (GoO) tracked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 (Upstream &amp; Downstream Value Chain)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14.008 kg CO</w:t>
            </w:r>
            <w:r>
              <w:rPr>
                <w:vertAlign w:val="subscript"/>
              </w:rPr>
              <w:t xml:space="preserve">2</w:t>
            </w:r>
            <w:r>
              <w:t xml:space="preserve">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98.07%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98.1% accounted (&gt;95.0% threshold requirement met)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Combined Footprint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14.284 kg CO</w:t>
            </w:r>
            <w:r>
              <w:rPr>
                <w:vertAlign w:val="subscript"/>
                <w:bCs/>
                <w:b/>
              </w:rPr>
              <w:t xml:space="preserve">2</w:t>
            </w:r>
            <w:r>
              <w:rPr>
                <w:bCs/>
                <w:b/>
              </w:rPr>
              <w:t xml:space="preserve">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100.00%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GHG Protocol Standard Validated</w:t>
            </w:r>
          </w:p>
        </w:tc>
      </w:tr>
    </w:tbl>
    <w:bookmarkEnd w:id="32"/>
    <w:bookmarkStart w:id="33" w:name="X5c220cc9947ccbbea1a2d5d3a40ed482aa6897b"/>
    <w:p>
      <w:pPr>
        <w:pStyle w:val="Heading3"/>
      </w:pPr>
      <w:r>
        <w:t xml:space="preserve">4.3 2026 Land Sector and Removals (LSR) Standard Evaluation</w:t>
      </w:r>
    </w:p>
    <w:p>
      <w:pPr>
        <w:pStyle w:val="FirstParagraph"/>
      </w:pPr>
      <w:r>
        <w:t xml:space="preserve">In accordance with the</w:t>
      </w:r>
      <w:r>
        <w:t xml:space="preserve"> </w:t>
      </w:r>
      <w:r>
        <w:rPr>
          <w:bCs/>
          <w:b/>
        </w:rPr>
        <w:t xml:space="preserve">2026 GHG Protocol Land Sector and Removals Guidance</w:t>
      </w:r>
      <w:r>
        <w:t xml:space="preserve">, activities intersecting agriculture, forestry, land management, and biological carbon stocks must be explicitly accounted for, reported separately from fossil-derived emissions, and audited against carbon removal integrity criteria.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LSR Assessment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Reported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Methodological Basis &amp; Audit Findings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Direct Land Use Change (dLUC)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 kg CO</w:t>
            </w:r>
            <w:r>
              <w:rPr>
                <w:vertAlign w:val="subscript"/>
              </w:rPr>
              <w:t xml:space="preserve">2</w:t>
            </w:r>
            <w:r>
              <w:t xml:space="preserve">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Precursors (dicyandiamide, DMA, HCl) are 100% synthetically derived from fossil fuels and mineral feedstocks (calcium carbide, natural gas, rock salt). Zero land clearance or agricultural expansion involved.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Statistical / Indirect LUC (sLUC)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 kg CO</w:t>
            </w:r>
            <w:r>
              <w:rPr>
                <w:vertAlign w:val="subscript"/>
              </w:rPr>
              <w:t xml:space="preserve">2</w:t>
            </w:r>
            <w:r>
              <w:t xml:space="preserve">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agro-commodity diversion detected within the chemical synthesis pathway.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Biogenic Carbon Emissions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0.012 kg CO</w:t>
            </w:r>
            <w:r>
              <w:rPr>
                <w:vertAlign w:val="subscript"/>
              </w:rPr>
              <w:t xml:space="preserve">2</w:t>
            </w:r>
            <w:r>
              <w:t xml:space="preserve">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linked to paperboard fiber production in secondary kraft drums. Fiber originates from certified PEFC/FSC sustainable forestry in Scandinavia with stable biogenic stocks.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Biogenic Carbon Removals (Stored)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-0.012 kg CO</w:t>
            </w:r>
            <w:r>
              <w:rPr>
                <w:vertAlign w:val="subscript"/>
              </w:rPr>
              <w:t xml:space="preserve">2</w:t>
            </w:r>
            <w:r>
              <w:t xml:space="preserve">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Temporary physical carbon storage within virgin cardboard container drums. Per LSR rules, this removal is reported in a neutral standalone ledger and</w:t>
            </w:r>
            <w:r>
              <w:t xml:space="preserve"> </w:t>
            </w:r>
            <w:r>
              <w:rPr>
                <w:iCs/>
                <w:i/>
              </w:rPr>
              <w:t xml:space="preserve">not subtracted</w:t>
            </w:r>
            <w:r>
              <w:t xml:space="preserve"> </w:t>
            </w:r>
            <w:r>
              <w:t xml:space="preserve">from net fossil GHG totals.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Technological Carbon Removals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 kg CO</w:t>
            </w:r>
            <w:r>
              <w:rPr>
                <w:vertAlign w:val="subscript"/>
              </w:rPr>
              <w:t xml:space="preserve">2</w:t>
            </w:r>
            <w:r>
              <w:t xml:space="preserve">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direct air capture (DAC) or mineralization credits applied.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3"/>
    <w:bookmarkEnd w:id="34"/>
    <w:bookmarkStart w:id="39" w:name="Xbcbc989106612a7c90fd56930447c1ef9983a6b"/>
    <w:p>
      <w:pPr>
        <w:pStyle w:val="Heading1"/>
      </w:pPr>
      <w:r>
        <w:t xml:space="preserve">Step 5: Review, Hotspots &amp; Decarbonization Roadmap</w:t>
      </w:r>
    </w:p>
    <w:bookmarkStart w:id="35" w:name="carbon-hotspot-identification"/>
    <w:p>
      <w:pPr>
        <w:pStyle w:val="Heading3"/>
      </w:pPr>
      <w:r>
        <w:t xml:space="preserve">5.1 Carbon Hotspot Identification</w:t>
      </w:r>
    </w:p>
    <w:p>
      <w:pPr>
        <w:pStyle w:val="FirstParagraph"/>
      </w:pPr>
      <w:r>
        <w:t xml:space="preserve">A Pareto contribution analysis reveals three definitive operational hotspots across the Metformin supply chain: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Hotspot 1: Dicyandiamide (DCDA) Upstream Synthesis (40.8% of Footprint):</w:t>
      </w:r>
      <w:r>
        <w:t xml:space="preserve"> </w:t>
      </w:r>
      <w:r>
        <w:t xml:space="preserve">DCDA is produced via the reaction of calcium cyanamide with carbon dioxide. In China (the dominant global exporter), calcium cyanamide is synthesized in coal-fired electric arc furnaces from quicklime and coal coke. This high-temperature, coal-dominated grid synthesis makes DCDA the primary emission driver (5.82 kg CO</w:t>
      </w:r>
      <w:r>
        <w:rPr>
          <w:vertAlign w:val="subscript"/>
        </w:rPr>
        <w:t xml:space="preserve">2</w:t>
      </w:r>
      <w:r>
        <w:t xml:space="preserve">e/kg Metformin).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Hotspot 2: Dimethylamine Feedstock (8.8% of Footprint):</w:t>
      </w:r>
      <w:r>
        <w:t xml:space="preserve"> </w:t>
      </w:r>
      <w:r>
        <w:t xml:space="preserve">DMA synthesis depends on natural-gas-derived methanol and Haber-Bosch ammonia. Upstream synthesis energy and fossil hydrogen usage anchor its high carbon intensity (3.95 kg CO</w:t>
      </w:r>
      <w:r>
        <w:rPr>
          <w:vertAlign w:val="subscript"/>
        </w:rPr>
        <w:t xml:space="preserve">2</w:t>
      </w:r>
      <w:r>
        <w:t xml:space="preserve">e/kg DMA).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Hotspot 3: Process Waste Solvent Incineration (3.2% of Footprint):</w:t>
      </w:r>
      <w:r>
        <w:t xml:space="preserve"> </w:t>
      </w:r>
      <w:r>
        <w:t xml:space="preserve">Despite 92% solvent recovery efficiency at the Norwegian facility, thermal destruction of unrecoverable toluene/IPA distillation residues in specialized high-temperature incinerators generates significant fossil CO</w:t>
      </w:r>
      <w:r>
        <w:rPr>
          <w:vertAlign w:val="subscript"/>
        </w:rPr>
        <w:t xml:space="preserve">2</w:t>
      </w:r>
      <w:r>
        <w:t xml:space="preserve">.</w:t>
      </w:r>
    </w:p>
    <w:bookmarkEnd w:id="35"/>
    <w:bookmarkStart w:id="36" w:name="X2e4ad8a2db0b36332cca66c569062049f2b3f64"/>
    <w:p>
      <w:pPr>
        <w:pStyle w:val="Heading3"/>
      </w:pPr>
      <w:r>
        <w:t xml:space="preserve">5.2 Sensitivity &amp; Geographic Relocation Analysis</w:t>
      </w:r>
    </w:p>
    <w:p>
      <w:pPr>
        <w:pStyle w:val="FirstParagraph"/>
      </w:pPr>
      <w:r>
        <w:t xml:space="preserve">The choice of final manufacturing in Norway provides a profound competitive climate advantage compared to the identical synthesis route executed in other pharmaceutical manufacturing jurisdictions: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Manufacturing Jurisdiction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Grid Factor (kg CO</w:t>
            </w:r>
            <w:r>
              <w:rPr>
                <w:vertAlign w:val="subscript"/>
              </w:rPr>
              <w:t xml:space="preserve">2</w:t>
            </w:r>
            <w:r>
              <w:t xml:space="preserve">e / kWh)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Core Gate Impact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PCF (kg CO</w:t>
            </w:r>
            <w:r>
              <w:rPr>
                <w:vertAlign w:val="subscript"/>
              </w:rPr>
              <w:t xml:space="preserve">2</w:t>
            </w:r>
            <w:r>
              <w:t xml:space="preserve">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Norway (Assessed Facility)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0.017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0.28 kg CO</w:t>
            </w:r>
            <w:r>
              <w:rPr>
                <w:vertAlign w:val="subscript"/>
                <w:bCs/>
                <w:b/>
              </w:rPr>
              <w:t xml:space="preserve">2</w:t>
            </w:r>
            <w:r>
              <w:rPr>
                <w:bCs/>
                <w:b/>
              </w:rPr>
              <w:t xml:space="preserve">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14.28 kg CO</w:t>
            </w:r>
            <w:r>
              <w:rPr>
                <w:vertAlign w:val="subscript"/>
                <w:bCs/>
                <w:b/>
              </w:rPr>
              <w:t xml:space="preserve">2</w:t>
            </w:r>
            <w:r>
              <w:rPr>
                <w:bCs/>
                <w:b/>
              </w:rPr>
              <w:t xml:space="preserve">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Germany (Pharma hub baseline)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1.97 kg CO</w:t>
            </w:r>
            <w:r>
              <w:rPr>
                <w:vertAlign w:val="subscript"/>
              </w:rPr>
              <w:t xml:space="preserve">2</w:t>
            </w:r>
            <w:r>
              <w:t xml:space="preserve">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15.97 kg CO</w:t>
            </w:r>
            <w:r>
              <w:rPr>
                <w:vertAlign w:val="subscript"/>
              </w:rPr>
              <w:t xml:space="preserve">2</w:t>
            </w:r>
            <w:r>
              <w:t xml:space="preserve">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India (Gujarat/Telangana API clusters)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3.69 kg CO</w:t>
            </w:r>
            <w:r>
              <w:rPr>
                <w:vertAlign w:val="subscript"/>
              </w:rPr>
              <w:t xml:space="preserve">2</w:t>
            </w:r>
            <w:r>
              <w:t xml:space="preserve">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17.69 kg CO</w:t>
            </w:r>
            <w:r>
              <w:rPr>
                <w:vertAlign w:val="subscript"/>
              </w:rPr>
              <w:t xml:space="preserve">2</w:t>
            </w:r>
            <w:r>
              <w:t xml:space="preserve">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China (Jiangsu/Zhejiang API cluster)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3.01 kg CO</w:t>
            </w:r>
            <w:r>
              <w:rPr>
                <w:vertAlign w:val="subscript"/>
              </w:rPr>
              <w:t xml:space="preserve">2</w:t>
            </w:r>
            <w:r>
              <w:t xml:space="preserve">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17.01 kg CO</w:t>
            </w:r>
            <w:r>
              <w:rPr>
                <w:vertAlign w:val="subscript"/>
              </w:rPr>
              <w:t xml:space="preserve">2</w:t>
            </w:r>
            <w:r>
              <w:t xml:space="preserve">e</w:t>
            </w:r>
          </w:p>
        </w:tc>
      </w:tr>
    </w:tbl>
    <w:bookmarkEnd w:id="36"/>
    <w:bookmarkStart w:id="37" w:name="X0048183e049af42fadb2d4ba0478394211a9770"/>
    <w:p>
      <w:pPr>
        <w:pStyle w:val="Heading3"/>
      </w:pPr>
      <w:r>
        <w:t xml:space="preserve">5.3 Targeted Decarbonization Pathways (2026–2030)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Low-Carbon DCDA Procurement:</w:t>
      </w:r>
      <w:r>
        <w:t xml:space="preserve"> </w:t>
      </w:r>
      <w:r>
        <w:t xml:space="preserve">Establish supply contracts with DCDA manufacturers operating in regions with hydro-powered electric arc furnaces (e.g., Sichuan/Yunnan or European producers), potentially abating up to</w:t>
      </w:r>
      <w:r>
        <w:t xml:space="preserve"> </w:t>
      </w:r>
      <w:r>
        <w:rPr>
          <w:bCs/>
          <w:b/>
        </w:rPr>
        <w:t xml:space="preserve">2.60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 per kg API (-18.2%)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Solvent Recovery Loop Optimization:</w:t>
      </w:r>
      <w:r>
        <w:t xml:space="preserve"> </w:t>
      </w:r>
      <w:r>
        <w:t xml:space="preserve">Upgrading the facility\'s fractional vacuum distillation columns to increase toluene and isopropanol recovery from 92% to 97.5%, lowering virgin solvent demand and incineration volumes to save</w:t>
      </w:r>
      <w:r>
        <w:t xml:space="preserve"> </w:t>
      </w:r>
      <w:r>
        <w:rPr>
          <w:bCs/>
          <w:b/>
        </w:rPr>
        <w:t xml:space="preserve">0.38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 (-2.7%)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Electrification of Steam Generation:</w:t>
      </w:r>
      <w:r>
        <w:t xml:space="preserve"> </w:t>
      </w:r>
      <w:r>
        <w:t xml:space="preserve">Complete decommissioning of back-up gas boilers in favor of 100% industrial high-temperature heat pumps and electric boilers powered by long-term corporate PPAs with Norwegian wind/hydro producers, eliminating remaining Scope 1 thermal combustion (</w:t>
      </w:r>
      <w:r>
        <w:rPr>
          <w:bCs/>
          <w:b/>
        </w:rPr>
        <w:t xml:space="preserve">-0.07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</w:t>
      </w:r>
      <w:r>
        <w:t xml:space="preserve">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Bio-based Excipients &amp; Circular Packaging:</w:t>
      </w:r>
      <w:r>
        <w:t xml:space="preserve"> </w:t>
      </w:r>
      <w:r>
        <w:t xml:space="preserve">Replace fossil HDPE drums and liners with mass-balanced bio-PE or circular mechanically recycled post-consumer resins (PCR), reducing Scope 3 Category 1 packaging impacts by 40%.</w:t>
      </w:r>
    </w:p>
    <w:bookmarkEnd w:id="37"/>
    <w:bookmarkStart w:id="38" w:name="data-quality-verification-summary"/>
    <w:p>
      <w:pPr>
        <w:pStyle w:val="Heading3"/>
      </w:pPr>
      <w:r>
        <w:t xml:space="preserve">5.4 Data Quality &amp; Verification Summary</w:t>
      </w:r>
    </w:p>
    <w:p>
      <w:pPr>
        <w:pStyle w:val="FirstParagraph"/>
      </w:pPr>
      <w:r>
        <w:t xml:space="preserve">The data quality assessment confirms high reliability under the GHG Protocol Data Quality Rating (DQR) matrix: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Technological Representativeness:</w:t>
      </w:r>
      <w:r>
        <w:t xml:space="preserve"> </w:t>
      </w:r>
      <w:r>
        <w:t xml:space="preserve">High. Realized batch data from modern commercial-scale pharmaceutical synthesis reactor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Temporal Representativeness:</w:t>
      </w:r>
      <w:r>
        <w:t xml:space="preserve"> </w:t>
      </w:r>
      <w:r>
        <w:t xml:space="preserve">Very High. Primary continuous meter readings from 2025/2026 operations; secondary emission factors restricted to 2024–2026 releases.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Geographical Representativeness:</w:t>
      </w:r>
      <w:r>
        <w:t xml:space="preserve"> </w:t>
      </w:r>
      <w:r>
        <w:t xml:space="preserve">Very High for Norwegian conversion operations; Moderate-High for Chinese and European intermediate chemical synthesis.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Completeness:</w:t>
      </w:r>
      <w:r>
        <w:t xml:space="preserve"> </w:t>
      </w:r>
      <w:r>
        <w:t xml:space="preserve">98.1% of Scope 3 flows captured, fully exceeding the 2026 GHG Protocol 95% threshold requirement.</w:t>
      </w:r>
    </w:p>
    <w:p>
      <w:pPr>
        <w:pStyle w:val="FirstParagraph"/>
      </w:pPr>
      <w:r>
        <w:t xml:space="preserve">Prepared by: Senior Sustainability Consultant | businessanalytiq.com</w:t>
      </w:r>
      <w:r>
        <w:t xml:space="preserve"> </w:t>
      </w:r>
      <w:r>
        <w:t xml:space="preserve">GHG Protocol Product Standard Compliant • Confidential - Internal Use Only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Footprint Report for Metformin (API) - Cradle-to-Gate Life Cycle Assessment</dc:title>
  <dc:creator/>
  <dc:description>Comprehensive Product Carbon Footprint (PCF) report for 1.0 kg of Metformin Hydrochloride API manufactured in Norway, calculated under the GHG Protocol Product Standard and 2026 LSR guidelines.</dc:description>
  <dc:language>en</dc:language>
  <cp:keywords/>
  <dcterms:created xsi:type="dcterms:W3CDTF">2026-10-19T14:56:26Z</dcterms:created>
  <dcterms:modified xsi:type="dcterms:W3CDTF">2026-10-19T14:56:26Z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