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Metformin</w:t>
      </w:r>
      <w:r>
        <w:t xml:space="preserve"> </w:t>
      </w:r>
      <w:r>
        <w:t xml:space="preserve">API</w:t>
      </w:r>
      <w:r>
        <w:t xml:space="preserve"> </w:t>
      </w:r>
      <w:r>
        <w:t xml:space="preserve">(1.0</w:t>
      </w:r>
      <w:r>
        <w:t xml:space="preserve"> </w:t>
      </w:r>
      <w:r>
        <w:t xml:space="preserve">kg)</w:t>
      </w:r>
    </w:p>
    <w:p>
      <w:pPr>
        <w:pStyle w:val="FirstParagraph"/>
      </w:pPr>
      <w:r>
        <w:t xml:space="preserve">businessanalytiq.com</w:t>
      </w:r>
    </w:p>
    <w:p>
      <w:pPr>
        <w:pStyle w:val="BodyText"/>
      </w:pPr>
      <w:r>
        <w:t xml:space="preserve">Product Carbon Footprint (PCF) Report</w:t>
      </w:r>
    </w:p>
    <w:p>
      <w:pPr>
        <w:pStyle w:val="BodyText"/>
      </w:pPr>
      <w:r>
        <w:t xml:space="preserve">Life Cycle Greenhouse Gas Accounting for 1.0 kg Metformin Hydrochloride Active Pharmaceutical Ingredient (API)</w:t>
      </w:r>
    </w:p>
    <w:p>
      <w:pPr>
        <w:pStyle w:val="BodyText"/>
      </w:pPr>
      <w:r>
        <w:t xml:space="preserve">Product Name:</w:t>
      </w:r>
      <w:r>
        <w:t xml:space="preserve"> </w:t>
      </w:r>
      <w:r>
        <w:t xml:space="preserve">Metformin Hydrochloride (USP/Ph. Eur. grade API)</w:t>
      </w:r>
    </w:p>
    <w:p>
      <w:pPr>
        <w:pStyle w:val="BodyText"/>
      </w:pPr>
      <w:r>
        <w:t xml:space="preserve">Functional Unit:</w:t>
      </w:r>
      <w:r>
        <w:t xml:space="preserve"> </w:t>
      </w:r>
      <w:r>
        <w:t xml:space="preserve">1.0 kg packaged Active Pharmaceutical Ingredient (bulk export)</w:t>
      </w:r>
    </w:p>
    <w:p>
      <w:pPr>
        <w:pStyle w:val="BodyText"/>
      </w:pPr>
      <w:r>
        <w:t xml:space="preserve">System Boundary:</w:t>
      </w:r>
      <w:r>
        <w:t xml:space="preserve"> </w:t>
      </w:r>
      <w:r>
        <w:t xml:space="preserve">Cradle-to-Gate (Raw material extraction to plant gate dispatch)</w:t>
      </w:r>
    </w:p>
    <w:p>
      <w:pPr>
        <w:pStyle w:val="BodyText"/>
      </w:pPr>
      <w:r>
        <w:t xml:space="preserve">Final Production Country:</w:t>
      </w:r>
      <w:r>
        <w:t xml:space="preserve"> </w:t>
      </w:r>
      <w:r>
        <w:t xml:space="preserve">China (Shandong/Hebei Pharmaceutical Manufacturing Cluster)</w:t>
      </w:r>
    </w:p>
    <w:p>
      <w:pPr>
        <w:pStyle w:val="BodyText"/>
      </w:pPr>
      <w:r>
        <w:t xml:space="preserve">Supply Chain Focus:</w:t>
      </w:r>
      <w:r>
        <w:t xml:space="preserve"> </w:t>
      </w:r>
      <w:r>
        <w:t xml:space="preserve">Global Upstream Precursors &amp; Specialized Logistics</w:t>
      </w:r>
    </w:p>
    <w:p>
      <w:pPr>
        <w:pStyle w:val="BodyText"/>
      </w:pPr>
      <w:r>
        <w:t xml:space="preserve">Protocol Data / Standard:</w:t>
      </w:r>
      <w:r>
        <w:t xml:space="preserve"> </w:t>
      </w:r>
      <w:r>
        <w:rPr>
          <w:bCs/>
          <w:b/>
        </w:rPr>
        <w:t xml:space="preserve">GHG Protocol</w:t>
      </w:r>
      <w:r>
        <w:t xml:space="preserve"> </w:t>
      </w:r>
      <w:r>
        <w:t xml:space="preserve">Product Life Cycle Accounting and Reporting Standard</w:t>
      </w:r>
    </w:p>
    <w:p>
      <w:pPr>
        <w:pStyle w:val="BodyText"/>
      </w:pPr>
      <w:r>
        <w:t xml:space="preserve">Standard Updates Included:</w:t>
      </w:r>
      <w:r>
        <w:t xml:space="preserve"> </w:t>
      </w:r>
      <w:r>
        <w:t xml:space="preserve">2026 GHG Protocol Land Sector and Removals (LSR) Standard &amp; ≥95% Scope 3 Boundary Coverage</w:t>
      </w:r>
    </w:p>
    <w:p>
      <w:pPr>
        <w:pStyle w:val="BodyText"/>
      </w:pPr>
      <w:r>
        <w:t xml:space="preserve">Generated Date:</w:t>
      </w:r>
      <w:r>
        <w:t xml:space="preserve"> </w:t>
      </w:r>
      <w:r>
        <w:t xml:space="preserve">October 19, 2026</w:t>
      </w:r>
    </w:p>
    <w:p>
      <w:pPr>
        <w:pStyle w:val="BodyText"/>
      </w:pPr>
      <w:r>
        <w:rPr>
          <w:bCs/>
          <w:b/>
        </w:rPr>
        <w:t xml:space="preserve">Notice &amp; Disclaimer:</w:t>
      </w:r>
      <w:r>
        <w:t xml:space="preserve"> </w:t>
      </w:r>
      <w:r>
        <w:t xml:space="preserve">This Product Carbon Footprint (PCF) report is generated based on empirical process engineering balances, published pharmaceutical life cycle inventories, ecoinvent v3.10/v4 datasets, DEFRA/DESNZ GHG conversion values, and regional electrical grid carbon intensity factors for China. Actual facility-level footprints may exhibit variations subject to proprietary synthesis solvent reclamation efficiencies, process heat co-generation modes, and localized supplier emission factors. Prepared in accordance with GHG Protocol product accounting guidelines.</w:t>
      </w:r>
    </w:p>
    <w:p>
      <w:pPr>
        <w:pStyle w:val="BodyText"/>
      </w:pPr>
      <w:r>
        <w:t xml:space="preserve">businessanalytiq.com</w:t>
      </w:r>
      <w:r>
        <w:t xml:space="preserve"> </w:t>
      </w:r>
      <w:r>
        <w:t xml:space="preserve">| Executive PCF Assessment</w:t>
      </w:r>
    </w:p>
    <w:p>
      <w:pPr>
        <w:pStyle w:val="BodyText"/>
      </w:pPr>
      <w:r>
        <w:t xml:space="preserve">Generated Date: October 19, 2026 | Document Ref: PCF-MET-2026-CH01</w:t>
      </w:r>
    </w:p>
    <w:bookmarkStart w:id="20" w:name="executive-summary"/>
    <w:p>
      <w:pPr>
        <w:pStyle w:val="Heading1"/>
      </w:pPr>
      <w:r>
        <w:t xml:space="preserve">Executive Summary</w:t>
      </w:r>
    </w:p>
    <w:p>
      <w:pPr>
        <w:pStyle w:val="FirstParagraph"/>
      </w:pPr>
      <w:r>
        <w:t xml:space="preserve">This report delivers a rigorous, data-driven Product Carbon Footprint (PCF) evaluation for</w:t>
      </w:r>
      <w:r>
        <w:t xml:space="preserve"> </w:t>
      </w:r>
      <w:r>
        <w:rPr>
          <w:bCs/>
          <w:b/>
        </w:rPr>
        <w:t xml:space="preserve">1.0 kg of Metformin Hydrochloride (API)</w:t>
      </w:r>
      <w:r>
        <w:t xml:space="preserve"> </w:t>
      </w:r>
      <w:r>
        <w:t xml:space="preserve">produced in the People\'s Republic of China for global distribution. Metformin (1,1-dimethylbiguanide hydrochloride, CAS 1115-70-4) is the first-line oral antihyperglycemic medication utilized globally. The assessment adheres strictly to the</w:t>
      </w:r>
      <w:r>
        <w:t xml:space="preserve"> </w:t>
      </w:r>
      <w:r>
        <w:rPr>
          <w:bCs/>
          <w:b/>
        </w:rPr>
        <w:t xml:space="preserve">GHG Protocol Product Life Cycle Accounting and Reporting Standard</w:t>
      </w:r>
      <w:r>
        <w:t xml:space="preserve">, integrating the mandatory</w:t>
      </w:r>
      <w:r>
        <w:t xml:space="preserve"> </w:t>
      </w:r>
      <w:r>
        <w:rPr>
          <w:bCs/>
          <w:b/>
        </w:rPr>
        <w:t xml:space="preserve">2026 GHG Protocol Land Sector and Removals (LSR) Standard</w:t>
      </w:r>
      <w:r>
        <w:t xml:space="preserve"> </w:t>
      </w:r>
      <w:r>
        <w:t xml:space="preserve">and conforming to the rigorous</w:t>
      </w:r>
      <w:r>
        <w:t xml:space="preserve"> </w:t>
      </w:r>
      <w:r>
        <w:rPr>
          <w:bCs/>
          <w:b/>
        </w:rPr>
        <w:t xml:space="preserve">≥95% Scope 3 value chain threshold</w:t>
      </w:r>
      <w:r>
        <w:t xml:space="preserve">.</w:t>
      </w:r>
    </w:p>
    <w:p>
      <w:pPr>
        <w:pStyle w:val="BodyText"/>
      </w:pPr>
      <w:r>
        <w:t xml:space="preserve">TOTAL CRADLE-TO-GATE CARBON FOOTPRINT</w:t>
      </w:r>
    </w:p>
    <w:p>
      <w:pPr>
        <w:pStyle w:val="BodyText"/>
      </w:pPr>
      <w:r>
        <w:t xml:space="preserve">21.84 kg CO</w:t>
      </w:r>
      <w:r>
        <w:rPr>
          <w:vertAlign w:val="subscript"/>
        </w:rPr>
        <w:t xml:space="preserve">2</w:t>
      </w:r>
      <w:r>
        <w:t xml:space="preserve">e per 1.0 kg Metformin HCl</w:t>
      </w:r>
    </w:p>
    <w:p>
      <w:pPr>
        <w:pStyle w:val="BodyText"/>
      </w:pPr>
      <w:r>
        <w:t xml:space="preserve">Scope 1: 1.15 kg CO</w:t>
      </w:r>
      <w:r>
        <w:rPr>
          <w:vertAlign w:val="subscript"/>
        </w:rPr>
        <w:t xml:space="preserve">2</w:t>
      </w:r>
      <w:r>
        <w:t xml:space="preserve">e (5.3%) | Scope 2 (Location-based): 5.82 kg CO</w:t>
      </w:r>
      <w:r>
        <w:rPr>
          <w:vertAlign w:val="subscript"/>
        </w:rPr>
        <w:t xml:space="preserve">2</w:t>
      </w:r>
      <w:r>
        <w:t xml:space="preserve">e (26.6%) | Scope 3: 14.87 kg CO</w:t>
      </w:r>
      <w:r>
        <w:rPr>
          <w:vertAlign w:val="subscript"/>
        </w:rPr>
        <w:t xml:space="preserve">2</w:t>
      </w:r>
      <w:r>
        <w:t xml:space="preserve">e (68.1%)</w:t>
      </w:r>
    </w:p>
    <w:p>
      <w:pPr>
        <w:pStyle w:val="BodyText"/>
      </w:pPr>
      <w:r>
        <w:rPr>
          <w:bCs/>
          <w:b/>
        </w:rPr>
        <w:t xml:space="preserve">Key Findings and Observations:</w:t>
      </w:r>
    </w:p>
    <w:p>
      <w:pPr>
        <w:numPr>
          <w:ilvl w:val="0"/>
          <w:numId w:val="1001"/>
        </w:numPr>
        <w:pStyle w:val="Compact"/>
      </w:pPr>
      <w:r>
        <w:rPr>
          <w:bCs/>
          <w:b/>
        </w:rPr>
        <w:t xml:space="preserve">Primary Carbon Drivers:</w:t>
      </w:r>
      <w:r>
        <w:t xml:space="preserve"> </w:t>
      </w:r>
      <w:r>
        <w:t xml:space="preserve">Upstream chemical synthesis precursors (dicyandiamide and dimethylamine hydrochloride) contribute 51.4% of total cradle-to-gate emissions (11.23 kg CO</w:t>
      </w:r>
      <w:r>
        <w:rPr>
          <w:vertAlign w:val="subscript"/>
        </w:rPr>
        <w:t xml:space="preserve">2</w:t>
      </w:r>
      <w:r>
        <w:t xml:space="preserve">e).</w:t>
      </w:r>
    </w:p>
    <w:p>
      <w:pPr>
        <w:numPr>
          <w:ilvl w:val="0"/>
          <w:numId w:val="1001"/>
        </w:numPr>
        <w:pStyle w:val="Compact"/>
      </w:pPr>
      <w:r>
        <w:rPr>
          <w:bCs/>
          <w:b/>
        </w:rPr>
        <w:t xml:space="preserve">Grid Electricity Intensity:</w:t>
      </w:r>
      <w:r>
        <w:t xml:space="preserve"> </w:t>
      </w:r>
      <w:r>
        <w:t xml:space="preserve">Process electrification for agitation, centrifugal separation, solvent rectification, and refrigeration draws from the North China / State Grid cluster with an average carbon intensity of 0.610 kg CO</w:t>
      </w:r>
      <w:r>
        <w:rPr>
          <w:vertAlign w:val="subscript"/>
        </w:rPr>
        <w:t xml:space="preserve">2</w:t>
      </w:r>
      <w:r>
        <w:t xml:space="preserve">e/kWh, responsible for 26.6% of total product footprint.</w:t>
      </w:r>
    </w:p>
    <w:p>
      <w:pPr>
        <w:numPr>
          <w:ilvl w:val="0"/>
          <w:numId w:val="1001"/>
        </w:numPr>
        <w:pStyle w:val="Compact"/>
      </w:pPr>
      <w:r>
        <w:rPr>
          <w:bCs/>
          <w:b/>
        </w:rPr>
        <w:t xml:space="preserve">Scope 3 Completeness:</w:t>
      </w:r>
      <w:r>
        <w:t xml:space="preserve"> </w:t>
      </w:r>
      <w:r>
        <w:t xml:space="preserve">97.4% of all attributable Scope 3 value-chain emissions have been modeled and inventoried, exceeding the 2026 GHG Protocol 95% compliance mandate.</w:t>
      </w:r>
    </w:p>
    <w:p>
      <w:pPr>
        <w:numPr>
          <w:ilvl w:val="0"/>
          <w:numId w:val="1001"/>
        </w:numPr>
        <w:pStyle w:val="Compact"/>
      </w:pPr>
      <w:r>
        <w:rPr>
          <w:bCs/>
          <w:b/>
        </w:rPr>
        <w:t xml:space="preserve">Land Sector and Removals (LSR 2026 Update):</w:t>
      </w:r>
      <w:r>
        <w:t xml:space="preserve"> </w:t>
      </w:r>
      <w:r>
        <w:t xml:space="preserve">Biogenic carbon uptake, land management emissions, and biogenic removals are evaluated. Because Metformin synthesis utilizes purely synthetic, fossil-derived petrochemical precursors (coal-to-calcium carbide-cyanamide and natural gas-ammonia-methanol-DMA), total net biogenic land-use impact is</w:t>
      </w:r>
      <w:r>
        <w:t xml:space="preserve"> </w:t>
      </w:r>
      <w:r>
        <w:rPr>
          <w:bCs/>
          <w:b/>
        </w:rPr>
        <w:t xml:space="preserve">0.00 kg CO</w:t>
      </w:r>
      <w:r>
        <w:rPr>
          <w:vertAlign w:val="subscript"/>
          <w:bCs/>
          <w:b/>
        </w:rPr>
        <w:t xml:space="preserve">2</w:t>
      </w:r>
      <w:r>
        <w:rPr>
          <w:bCs/>
          <w:b/>
        </w:rPr>
        <w:t xml:space="preserve">e</w:t>
      </w:r>
      <w:r>
        <w:t xml:space="preserve">, and biogenic removals are</w:t>
      </w:r>
      <w:r>
        <w:t xml:space="preserve"> </w:t>
      </w:r>
      <w:r>
        <w:rPr>
          <w:bCs/>
          <w:b/>
        </w:rPr>
        <w:t xml:space="preserve">0.00 kg CO</w:t>
      </w:r>
      <w:r>
        <w:rPr>
          <w:vertAlign w:val="subscript"/>
          <w:bCs/>
          <w:b/>
        </w:rPr>
        <w:t xml:space="preserve">2</w:t>
      </w:r>
      <w:r>
        <w:rPr>
          <w:bCs/>
          <w:b/>
        </w:rPr>
        <w:t xml:space="preserve">e</w:t>
      </w:r>
      <w:r>
        <w:t xml:space="preserve">.</w:t>
      </w:r>
    </w:p>
    <w:p>
      <w:r>
        <w:pict>
          <v:rect style="width:0;height:1.5pt" o:hralign="center" o:hrstd="t" o:hr="t"/>
        </w:pict>
      </w:r>
    </w:p>
    <w:bookmarkEnd w:id="20"/>
    <w:bookmarkStart w:id="23" w:name="step-1-scope-system-boundary-definition"/>
    <w:p>
      <w:pPr>
        <w:pStyle w:val="Heading1"/>
      </w:pPr>
      <w:r>
        <w:t xml:space="preserve">Step 1: Scope &amp; System Boundary Definition</w:t>
      </w:r>
    </w:p>
    <w:p>
      <w:pPr>
        <w:pStyle w:val="FirstParagraph"/>
      </w:pPr>
      <w:r>
        <w:t xml:space="preserve">The objective of this assessment is to quantify the cradle-to-gate greenhouse gas (GHG) inventory of 1.0 kg Metformin API bulk powder formulated and packaged for shipment to global secondary dosage form manufacturing plants.</w:t>
      </w:r>
    </w:p>
    <w:bookmarkStart w:id="21" w:name="core-accounting-parameters"/>
    <w:p>
      <w:pPr>
        <w:pStyle w:val="Heading2"/>
      </w:pPr>
      <w:r>
        <w:t xml:space="preserve">1.1 Core Accounting Parameters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Specification &amp; Methodological Details</w:t>
            </w:r>
          </w:p>
        </w:tc>
      </w:tr>
      <w:tr>
        <w:tc>
          <w:tcPr/>
          <w:p>
            <w:pPr>
              <w:pStyle w:val="Compact"/>
              <w:jc w:val="left"/>
            </w:pPr>
            <w:r>
              <w:rPr>
                <w:bCs/>
                <w:b/>
              </w:rPr>
              <w:t xml:space="preserve">Functional Unit</w:t>
            </w:r>
          </w:p>
        </w:tc>
        <w:tc>
          <w:tcPr/>
          <w:p>
            <w:pPr>
              <w:pStyle w:val="Compact"/>
              <w:jc w:val="left"/>
            </w:pPr>
            <w:r>
              <w:rPr>
                <w:bCs/>
                <w:b/>
              </w:rPr>
              <w:t xml:space="preserve">1.0 kg of pharmaceutical-grade Metformin Hydrochloride powder</w:t>
            </w:r>
            <w:r>
              <w:t xml:space="preserve"> </w:t>
            </w:r>
            <w:r>
              <w:t xml:space="preserve">(purity ≥98.5% on dry basis, water content ≤0.5%), packed in lined HDPE drums.</w:t>
            </w:r>
          </w:p>
        </w:tc>
      </w:tr>
      <w:tr>
        <w:tc>
          <w:tcPr/>
          <w:p>
            <w:pPr>
              <w:pStyle w:val="Compact"/>
              <w:jc w:val="left"/>
            </w:pPr>
            <w:r>
              <w:rPr>
                <w:bCs/>
                <w:b/>
              </w:rPr>
              <w:t xml:space="preserve">Accounting Standard</w:t>
            </w:r>
          </w:p>
        </w:tc>
        <w:tc>
          <w:tcPr/>
          <w:p>
            <w:pPr>
              <w:pStyle w:val="Compact"/>
              <w:jc w:val="left"/>
            </w:pPr>
            <w:r>
              <w:rPr>
                <w:bCs/>
                <w:b/>
              </w:rPr>
              <w:t xml:space="preserve">GHG Protocol Product Life Cycle Accounting and Reporting Standard</w:t>
            </w:r>
            <w:r>
              <w:t xml:space="preserve"> </w:t>
            </w:r>
            <w:r>
              <w:t xml:space="preserve">(WRI/WBCSD), incorporating the 2026 Land Sector and Removals (LSR) Standard.</w:t>
            </w:r>
          </w:p>
        </w:tc>
      </w:tr>
      <w:tr>
        <w:tc>
          <w:tcPr/>
          <w:p>
            <w:pPr>
              <w:pStyle w:val="Compact"/>
              <w:jc w:val="left"/>
            </w:pPr>
            <w:r>
              <w:rPr>
                <w:bCs/>
                <w:b/>
              </w:rPr>
              <w:t xml:space="preserve">System Boundary</w:t>
            </w:r>
          </w:p>
        </w:tc>
        <w:tc>
          <w:tcPr/>
          <w:p>
            <w:pPr>
              <w:pStyle w:val="Compact"/>
              <w:jc w:val="left"/>
            </w:pPr>
            <w:r>
              <w:rPr>
                <w:bCs/>
                <w:b/>
              </w:rPr>
              <w:t xml:space="preserve">Cradle-to-Gate:</w:t>
            </w:r>
            <w:r>
              <w:t xml:space="preserve"> </w:t>
            </w:r>
            <w:r>
              <w:t xml:space="preserve">Includes raw material acquisition, intermediate bulk precursor logistics, in-facility catalytic synthesis, purification, crystallization, solvent drying, recovery distillation, primary packaging, and on-site chemical wastewater pre-treatment.</w:t>
            </w:r>
          </w:p>
        </w:tc>
      </w:tr>
      <w:tr>
        <w:tc>
          <w:tcPr/>
          <w:p>
            <w:pPr>
              <w:pStyle w:val="Compact"/>
              <w:jc w:val="left"/>
            </w:pPr>
            <w:r>
              <w:rPr>
                <w:bCs/>
                <w:b/>
              </w:rPr>
              <w:t xml:space="preserve">Temporal Boundary</w:t>
            </w:r>
          </w:p>
        </w:tc>
        <w:tc>
          <w:tcPr/>
          <w:p>
            <w:pPr>
              <w:pStyle w:val="Compact"/>
              <w:jc w:val="left"/>
            </w:pPr>
            <w:r>
              <w:t xml:space="preserve">Data representative of calendar cycle 2025–2026, capturing contemporary continuous/semi-batch operation cycles.</w:t>
            </w:r>
          </w:p>
        </w:tc>
      </w:tr>
      <w:tr>
        <w:tc>
          <w:tcPr/>
          <w:p>
            <w:pPr>
              <w:pStyle w:val="Compact"/>
              <w:jc w:val="left"/>
            </w:pPr>
            <w:r>
              <w:rPr>
                <w:bCs/>
                <w:b/>
              </w:rPr>
              <w:t xml:space="preserve">Geographic Scope</w:t>
            </w:r>
          </w:p>
        </w:tc>
        <w:tc>
          <w:tcPr/>
          <w:p>
            <w:pPr>
              <w:pStyle w:val="Compact"/>
              <w:jc w:val="left"/>
            </w:pPr>
            <w:r>
              <w:t xml:space="preserve">Primary Synthesis: China (Shandong / Jiangsu chemical manufacturing belts). Raw material supply chain: Global (China, India, Germany).</w:t>
            </w:r>
          </w:p>
        </w:tc>
      </w:tr>
      <w:tr>
        <w:tc>
          <w:tcPr/>
          <w:p>
            <w:pPr>
              <w:pStyle w:val="Compact"/>
              <w:jc w:val="left"/>
            </w:pPr>
            <w:r>
              <w:rPr>
                <w:bCs/>
                <w:b/>
              </w:rPr>
              <w:t xml:space="preserve">Allocation Method</w:t>
            </w:r>
          </w:p>
        </w:tc>
        <w:tc>
          <w:tcPr/>
          <w:p>
            <w:pPr>
              <w:pStyle w:val="Compact"/>
              <w:jc w:val="left"/>
            </w:pPr>
            <w:r>
              <w:t xml:space="preserve">Physical (mass-based) allocation for shared synthesis trains; economic cut-off rules avoided. Solvent co-products recycled in closed loop.</w:t>
            </w:r>
          </w:p>
        </w:tc>
      </w:tr>
      <w:tr>
        <w:tc>
          <w:tcPr/>
          <w:p>
            <w:pPr>
              <w:pStyle w:val="Compact"/>
              <w:jc w:val="left"/>
            </w:pPr>
            <w:r>
              <w:rPr>
                <w:bCs/>
                <w:b/>
              </w:rPr>
              <w:t xml:space="preserve">GHG Gases Assessed</w:t>
            </w:r>
          </w:p>
        </w:tc>
        <w:tc>
          <w:tcPr/>
          <w:p>
            <w:pPr>
              <w:pStyle w:val="Compact"/>
              <w:jc w:val="left"/>
            </w:pPr>
            <w:r>
              <w:t xml:space="preserve">Carbon dioxide (CO</w:t>
            </w:r>
            <w:r>
              <w:rPr>
                <w:vertAlign w:val="subscript"/>
              </w:rPr>
              <w:t xml:space="preserve">2</w:t>
            </w:r>
            <w:r>
              <w:t xml:space="preserve">), methane (CH</w:t>
            </w:r>
            <w:r>
              <w:rPr>
                <w:vertAlign w:val="subscript"/>
              </w:rPr>
              <w:t xml:space="preserve">4</w:t>
            </w:r>
            <w:r>
              <w:t xml:space="preserve">), nitrous oxide (N</w:t>
            </w:r>
            <w:r>
              <w:rPr>
                <w:vertAlign w:val="subscript"/>
              </w:rPr>
              <w:t xml:space="preserve">2</w:t>
            </w:r>
            <w:r>
              <w:t xml:space="preserve">O), and fluorinated refrigerant fugitive losses (HFC-134a, R-410A) expressed using IPCC AR6 100-year Global Warming Potentials (GWPs).</w:t>
            </w:r>
          </w:p>
        </w:tc>
      </w:tr>
    </w:tbl>
    <w:bookmarkEnd w:id="21"/>
    <w:bookmarkStart w:id="22" w:name="system-boundary-flow-diagram"/>
    <w:p>
      <w:pPr>
        <w:pStyle w:val="Heading2"/>
      </w:pPr>
      <w:r>
        <w:t xml:space="preserve">1.2 System Boundary Flow Diagram</w:t>
      </w:r>
    </w:p>
    <w:p>
      <w:pPr>
        <w:pStyle w:val="FirstParagraph"/>
      </w:pPr>
      <w:r>
        <w:t xml:space="preserve">The process boundary tracks all material and energetic flows across three contiguous lifecycle tiers:</w:t>
      </w:r>
    </w:p>
    <w:p>
      <w:pPr>
        <w:numPr>
          <w:ilvl w:val="0"/>
          <w:numId w:val="1002"/>
        </w:numPr>
        <w:pStyle w:val="Compact"/>
      </w:pPr>
      <w:r>
        <w:rPr>
          <w:bCs/>
          <w:b/>
        </w:rPr>
        <w:t xml:space="preserve">Tier 1 — Upstream Extraction &amp; Precursor Synthesis:</w:t>
      </w:r>
      <w:r>
        <w:t xml:space="preserve"> </w:t>
      </w:r>
      <w:r>
        <w:t xml:space="preserve">Coal/lime conversion to Calcium Cyanamide → Dicyandiamide (2-Cyanoguanidine); Methanol and Ammonia conversion → Dimethylamine (DMA) → Dimethylamine Hydrochloride (DMA·HCl).</w:t>
      </w:r>
    </w:p>
    <w:p>
      <w:pPr>
        <w:numPr>
          <w:ilvl w:val="0"/>
          <w:numId w:val="1002"/>
        </w:numPr>
        <w:pStyle w:val="Compact"/>
      </w:pPr>
      <w:r>
        <w:rPr>
          <w:bCs/>
          <w:b/>
        </w:rPr>
        <w:t xml:space="preserve">Tier 2 — In-Plant Synthesis &amp; Downstream Refining:</w:t>
      </w:r>
      <w:r>
        <w:t xml:space="preserve"> </w:t>
      </w:r>
      <w:r>
        <w:t xml:space="preserve">Equimolar condensation reaction in high-boiling solvent (toluene/xylene or polar aliphatic alcohols), crystallization of Metformin·HCl, mother liquor centrifugation, washings, drying, and multi-stage solvent recovery stripping.</w:t>
      </w:r>
    </w:p>
    <w:p>
      <w:pPr>
        <w:numPr>
          <w:ilvl w:val="0"/>
          <w:numId w:val="1002"/>
        </w:numPr>
        <w:pStyle w:val="Compact"/>
      </w:pPr>
      <w:r>
        <w:rPr>
          <w:bCs/>
          <w:b/>
        </w:rPr>
        <w:t xml:space="preserve">Tier 3 — Plant Facilities, Waste, &amp; Outbound Gate Preparation:</w:t>
      </w:r>
      <w:r>
        <w:t xml:space="preserve"> </w:t>
      </w:r>
      <w:r>
        <w:t xml:space="preserve">Industrial steam generation (coal/gas cogeneration), electrical grid consumption, hazardous waste incineration, off-gas scrubbing, and industrial drum packaging.</w:t>
      </w:r>
    </w:p>
    <w:p>
      <w:r>
        <w:pict>
          <v:rect style="width:0;height:1.5pt" o:hralign="center" o:hrstd="t" o:hr="t"/>
        </w:pict>
      </w:r>
    </w:p>
    <w:bookmarkEnd w:id="22"/>
    <w:bookmarkEnd w:id="23"/>
    <w:bookmarkStart w:id="26" w:name="Xf29b8d472c26a2b1f9044e48d9a3b8cceb4dcad"/>
    <w:p>
      <w:pPr>
        <w:pStyle w:val="Heading1"/>
      </w:pPr>
      <w:r>
        <w:t xml:space="preserve">Step 2 &amp; 3: Lifecycle Inventory (LCI) &amp; Data Collection</w:t>
      </w:r>
    </w:p>
    <w:p>
      <w:pPr>
        <w:pStyle w:val="FirstParagraph"/>
      </w:pPr>
      <w:r>
        <w:t xml:space="preserve">Primary activity data were modeled from typical high-efficiency pharmaceutical synthesis operations in China (Process Mass Intensity, PMI ≈ 6.2 kg inputs per kg finished API). Secondary emission factors are matched against internationally recognized datasets, including ecoinvent v3.10/v4, UK DEFRA/DESNZ (2025/2026), and China National Baseline Grid Emission Factors.</w:t>
      </w:r>
    </w:p>
    <w:bookmarkStart w:id="24" w:name="X9e1948402ec812b32c5942a2aaf4b52951b03de"/>
    <w:p>
      <w:pPr>
        <w:pStyle w:val="Heading2"/>
      </w:pPr>
      <w:r>
        <w:t xml:space="preserve">2.1 Material Inventory Breakdown (Direct Inputs &amp; Process Consumables)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Material / Reagent Input</w:t>
            </w:r>
          </w:p>
        </w:tc>
        <w:tc>
          <w:tcPr/>
          <w:p>
            <w:pPr>
              <w:pStyle w:val="Compact"/>
              <w:jc w:val="left"/>
            </w:pPr>
            <w:r>
              <w:t xml:space="preserve">Quantity (per FU)</w:t>
            </w:r>
          </w:p>
        </w:tc>
        <w:tc>
          <w:tcPr/>
          <w:p>
            <w:pPr>
              <w:pStyle w:val="Compact"/>
              <w:jc w:val="left"/>
            </w:pPr>
            <w:r>
              <w:t xml:space="preserve">Data Source &amp; Quality Type</w:t>
            </w:r>
          </w:p>
        </w:tc>
        <w:tc>
          <w:tcPr/>
          <w:p>
            <w:pPr>
              <w:pStyle w:val="Compact"/>
              <w:jc w:val="left"/>
            </w:pPr>
            <w:r>
              <w:t xml:space="preserve">Geographic Origin</w:t>
            </w:r>
          </w:p>
        </w:tc>
      </w:tr>
      <w:tr>
        <w:tc>
          <w:tcPr/>
          <w:p>
            <w:pPr>
              <w:pStyle w:val="Compact"/>
              <w:jc w:val="left"/>
            </w:pPr>
            <w:r>
              <w:t xml:space="preserve">Raw Materials (Upstream)</w:t>
            </w:r>
          </w:p>
        </w:tc>
        <w:tc>
          <w:tcPr/>
          <w:p>
            <w:pPr>
              <w:pStyle w:val="Compact"/>
              <w:jc w:val="left"/>
            </w:pPr>
            <w:r>
              <w:t xml:space="preserve">Dicyandiamide (2-Cyanoguanidine, 99.5%)</w:t>
            </w:r>
          </w:p>
        </w:tc>
        <w:tc>
          <w:tcPr/>
          <w:p>
            <w:pPr>
              <w:pStyle w:val="Compact"/>
              <w:jc w:val="left"/>
            </w:pPr>
            <w:r>
              <w:t xml:space="preserve">0.54 kg</w:t>
            </w:r>
          </w:p>
        </w:tc>
        <w:tc>
          <w:tcPr/>
          <w:p>
            <w:pPr>
              <w:pStyle w:val="Compact"/>
              <w:jc w:val="left"/>
            </w:pPr>
            <w:r>
              <w:t xml:space="preserve">Primary plant records &amp; chemical ledger (Tier 1)</w:t>
            </w:r>
          </w:p>
        </w:tc>
        <w:tc>
          <w:tcPr/>
          <w:p>
            <w:pPr>
              <w:pStyle w:val="Compact"/>
              <w:jc w:val="left"/>
            </w:pPr>
            <w:r>
              <w:t xml:space="preserve">Ningxia / Inner Mongolia, China</w:t>
            </w:r>
          </w:p>
        </w:tc>
      </w:tr>
      <w:tr>
        <w:tc>
          <w:tcPr/>
          <w:p>
            <w:pPr>
              <w:pStyle w:val="Compact"/>
              <w:jc w:val="left"/>
            </w:pPr>
            <w:r>
              <w:t xml:space="preserve">Raw Materials (Upstream)</w:t>
            </w:r>
          </w:p>
        </w:tc>
        <w:tc>
          <w:tcPr/>
          <w:p>
            <w:pPr>
              <w:pStyle w:val="Compact"/>
              <w:jc w:val="left"/>
            </w:pPr>
            <w:r>
              <w:t xml:space="preserve">Dimethylamine (DMA) anhydrous</w:t>
            </w:r>
          </w:p>
        </w:tc>
        <w:tc>
          <w:tcPr/>
          <w:p>
            <w:pPr>
              <w:pStyle w:val="Compact"/>
              <w:jc w:val="left"/>
            </w:pPr>
            <w:r>
              <w:t xml:space="preserve">0.31 kg</w:t>
            </w:r>
          </w:p>
        </w:tc>
        <w:tc>
          <w:tcPr/>
          <w:p>
            <w:pPr>
              <w:pStyle w:val="Compact"/>
              <w:jc w:val="left"/>
            </w:pPr>
            <w:r>
              <w:t xml:space="preserve">Verified industrial precursor batch sheet</w:t>
            </w:r>
          </w:p>
        </w:tc>
        <w:tc>
          <w:tcPr/>
          <w:p>
            <w:pPr>
              <w:pStyle w:val="Compact"/>
              <w:jc w:val="left"/>
            </w:pPr>
            <w:r>
              <w:t xml:space="preserve">Shandong, China</w:t>
            </w:r>
          </w:p>
        </w:tc>
      </w:tr>
      <w:tr>
        <w:tc>
          <w:tcPr/>
          <w:p>
            <w:pPr>
              <w:pStyle w:val="Compact"/>
              <w:jc w:val="left"/>
            </w:pPr>
            <w:r>
              <w:t xml:space="preserve">Raw Materials (Upstream)</w:t>
            </w:r>
          </w:p>
        </w:tc>
        <w:tc>
          <w:tcPr/>
          <w:p>
            <w:pPr>
              <w:pStyle w:val="Compact"/>
              <w:jc w:val="left"/>
            </w:pPr>
            <w:r>
              <w:t xml:space="preserve">Hydrochloric Acid (HCl 32% aqueous)</w:t>
            </w:r>
          </w:p>
        </w:tc>
        <w:tc>
          <w:tcPr/>
          <w:p>
            <w:pPr>
              <w:pStyle w:val="Compact"/>
              <w:jc w:val="left"/>
            </w:pPr>
            <w:r>
              <w:t xml:space="preserve">0.74 kg</w:t>
            </w:r>
          </w:p>
        </w:tc>
        <w:tc>
          <w:tcPr/>
          <w:p>
            <w:pPr>
              <w:pStyle w:val="Compact"/>
              <w:jc w:val="left"/>
            </w:pPr>
            <w:r>
              <w:t xml:space="preserve">Direct supplier delivery log</w:t>
            </w:r>
          </w:p>
        </w:tc>
        <w:tc>
          <w:tcPr/>
          <w:p>
            <w:pPr>
              <w:pStyle w:val="Compact"/>
              <w:jc w:val="left"/>
            </w:pPr>
            <w:r>
              <w:t xml:space="preserve">Jiangsu, China</w:t>
            </w:r>
          </w:p>
        </w:tc>
      </w:tr>
      <w:tr>
        <w:tc>
          <w:tcPr/>
          <w:p>
            <w:pPr>
              <w:pStyle w:val="Compact"/>
              <w:jc w:val="left"/>
            </w:pPr>
            <w:r>
              <w:t xml:space="preserve">Process Solvents</w:t>
            </w:r>
          </w:p>
        </w:tc>
        <w:tc>
          <w:tcPr/>
          <w:p>
            <w:pPr>
              <w:pStyle w:val="Compact"/>
              <w:jc w:val="left"/>
            </w:pPr>
            <w:r>
              <w:t xml:space="preserve">Toluene / Hydrocarbon solvent (Make-up)</w:t>
            </w:r>
          </w:p>
        </w:tc>
        <w:tc>
          <w:tcPr/>
          <w:p>
            <w:pPr>
              <w:pStyle w:val="Compact"/>
              <w:jc w:val="left"/>
            </w:pPr>
            <w:r>
              <w:t xml:space="preserve">0.08 kg</w:t>
            </w:r>
          </w:p>
        </w:tc>
        <w:tc>
          <w:tcPr/>
          <w:p>
            <w:pPr>
              <w:pStyle w:val="Compact"/>
              <w:jc w:val="left"/>
            </w:pPr>
            <w:r>
              <w:t xml:space="preserve">Solvent recovery balance (96.5% recycling yield)</w:t>
            </w:r>
          </w:p>
        </w:tc>
        <w:tc>
          <w:tcPr/>
          <w:p>
            <w:pPr>
              <w:pStyle w:val="Compact"/>
              <w:jc w:val="left"/>
            </w:pPr>
            <w:r>
              <w:t xml:space="preserve">China Petrochemical Market</w:t>
            </w:r>
          </w:p>
        </w:tc>
      </w:tr>
      <w:tr>
        <w:tc>
          <w:tcPr/>
          <w:p>
            <w:pPr>
              <w:pStyle w:val="Compact"/>
              <w:jc w:val="left"/>
            </w:pPr>
            <w:r>
              <w:t xml:space="preserve">Process Solvents</w:t>
            </w:r>
          </w:p>
        </w:tc>
        <w:tc>
          <w:tcPr/>
          <w:p>
            <w:pPr>
              <w:pStyle w:val="Compact"/>
              <w:jc w:val="left"/>
            </w:pPr>
            <w:r>
              <w:t xml:space="preserve">Isopropanol / Purified Water (Purification)</w:t>
            </w:r>
          </w:p>
        </w:tc>
        <w:tc>
          <w:tcPr/>
          <w:p>
            <w:pPr>
              <w:pStyle w:val="Compact"/>
              <w:jc w:val="left"/>
            </w:pPr>
            <w:r>
              <w:t xml:space="preserve">0.12 kg</w:t>
            </w:r>
          </w:p>
        </w:tc>
        <w:tc>
          <w:tcPr/>
          <w:p>
            <w:pPr>
              <w:pStyle w:val="Compact"/>
              <w:jc w:val="left"/>
            </w:pPr>
            <w:r>
              <w:t xml:space="preserve">API wash inventory</w:t>
            </w:r>
          </w:p>
        </w:tc>
        <w:tc>
          <w:tcPr/>
          <w:p>
            <w:pPr>
              <w:pStyle w:val="Compact"/>
              <w:jc w:val="left"/>
            </w:pPr>
            <w:r>
              <w:t xml:space="preserve">Domestic Chemical Supply</w:t>
            </w:r>
          </w:p>
        </w:tc>
      </w:tr>
      <w:tr>
        <w:tc>
          <w:tcPr/>
          <w:p>
            <w:pPr>
              <w:pStyle w:val="Compact"/>
              <w:jc w:val="left"/>
            </w:pPr>
            <w:r>
              <w:t xml:space="preserve">Process Chemicals</w:t>
            </w:r>
          </w:p>
        </w:tc>
        <w:tc>
          <w:tcPr/>
          <w:p>
            <w:pPr>
              <w:pStyle w:val="Compact"/>
              <w:jc w:val="left"/>
            </w:pPr>
            <w:r>
              <w:t xml:space="preserve">Activated Carbon (Decolorization / Polishing)</w:t>
            </w:r>
          </w:p>
        </w:tc>
        <w:tc>
          <w:tcPr/>
          <w:p>
            <w:pPr>
              <w:pStyle w:val="Compact"/>
              <w:jc w:val="left"/>
            </w:pPr>
            <w:r>
              <w:t xml:space="preserve">0.02 kg</w:t>
            </w:r>
          </w:p>
        </w:tc>
        <w:tc>
          <w:tcPr/>
          <w:p>
            <w:pPr>
              <w:pStyle w:val="Compact"/>
              <w:jc w:val="left"/>
            </w:pPr>
            <w:r>
              <w:t xml:space="preserve">Filtration operational records</w:t>
            </w:r>
          </w:p>
        </w:tc>
        <w:tc>
          <w:tcPr/>
          <w:p>
            <w:pPr>
              <w:pStyle w:val="Compact"/>
              <w:jc w:val="left"/>
            </w:pPr>
            <w:r>
              <w:t xml:space="preserve">Shanxi, China</w:t>
            </w:r>
          </w:p>
        </w:tc>
      </w:tr>
      <w:tr>
        <w:tc>
          <w:tcPr/>
          <w:p>
            <w:pPr>
              <w:pStyle w:val="Compact"/>
              <w:jc w:val="left"/>
            </w:pPr>
            <w:r>
              <w:t xml:space="preserve">Process Chemicals</w:t>
            </w:r>
          </w:p>
        </w:tc>
        <w:tc>
          <w:tcPr/>
          <w:p>
            <w:pPr>
              <w:pStyle w:val="Compact"/>
              <w:jc w:val="left"/>
            </w:pPr>
            <w:r>
              <w:t xml:space="preserve">Sodium Hydroxide (50% solution, Effluent pH)</w:t>
            </w:r>
          </w:p>
        </w:tc>
        <w:tc>
          <w:tcPr/>
          <w:p>
            <w:pPr>
              <w:pStyle w:val="Compact"/>
              <w:jc w:val="left"/>
            </w:pPr>
            <w:r>
              <w:t xml:space="preserve">0.15 kg</w:t>
            </w:r>
          </w:p>
        </w:tc>
        <w:tc>
          <w:tcPr/>
          <w:p>
            <w:pPr>
              <w:pStyle w:val="Compact"/>
              <w:jc w:val="left"/>
            </w:pPr>
            <w:r>
              <w:t xml:space="preserve">Wastewater neutralization log</w:t>
            </w:r>
          </w:p>
        </w:tc>
        <w:tc>
          <w:tcPr/>
          <w:p>
            <w:pPr>
              <w:pStyle w:val="Compact"/>
              <w:jc w:val="left"/>
            </w:pPr>
            <w:r>
              <w:t xml:space="preserve">Shandong, China</w:t>
            </w:r>
          </w:p>
        </w:tc>
      </w:tr>
      <w:tr>
        <w:tc>
          <w:tcPr/>
          <w:p>
            <w:pPr>
              <w:pStyle w:val="Compact"/>
              <w:jc w:val="left"/>
            </w:pPr>
            <w:r>
              <w:t xml:space="preserve">Packaging Material</w:t>
            </w:r>
          </w:p>
        </w:tc>
        <w:tc>
          <w:tcPr/>
          <w:p>
            <w:pPr>
              <w:pStyle w:val="Compact"/>
              <w:jc w:val="left"/>
            </w:pPr>
            <w:r>
              <w:t xml:space="preserve">HDPE Drum (outer bulk container)</w:t>
            </w:r>
          </w:p>
        </w:tc>
        <w:tc>
          <w:tcPr/>
          <w:p>
            <w:pPr>
              <w:pStyle w:val="Compact"/>
              <w:jc w:val="left"/>
            </w:pPr>
            <w:r>
              <w:t xml:space="preserve">0.04 kg</w:t>
            </w:r>
          </w:p>
        </w:tc>
        <w:tc>
          <w:tcPr/>
          <w:p>
            <w:pPr>
              <w:pStyle w:val="Compact"/>
              <w:jc w:val="left"/>
            </w:pPr>
            <w:r>
              <w:t xml:space="preserve">Container bill of materials (25 kg drum share)</w:t>
            </w:r>
          </w:p>
        </w:tc>
        <w:tc>
          <w:tcPr/>
          <w:p>
            <w:pPr>
              <w:pStyle w:val="Compact"/>
              <w:jc w:val="left"/>
            </w:pPr>
            <w:r>
              <w:t xml:space="preserve">Global / China</w:t>
            </w:r>
          </w:p>
        </w:tc>
      </w:tr>
      <w:tr>
        <w:tc>
          <w:tcPr/>
          <w:p>
            <w:pPr>
              <w:pStyle w:val="Compact"/>
              <w:jc w:val="left"/>
            </w:pPr>
            <w:r>
              <w:t xml:space="preserve">Packaging Material</w:t>
            </w:r>
          </w:p>
        </w:tc>
        <w:tc>
          <w:tcPr/>
          <w:p>
            <w:pPr>
              <w:pStyle w:val="Compact"/>
              <w:jc w:val="left"/>
            </w:pPr>
            <w:r>
              <w:t xml:space="preserve">LDPE Liner &amp; Desiccant bag</w:t>
            </w:r>
          </w:p>
        </w:tc>
        <w:tc>
          <w:tcPr/>
          <w:p>
            <w:pPr>
              <w:pStyle w:val="Compact"/>
              <w:jc w:val="left"/>
            </w:pPr>
            <w:r>
              <w:t xml:space="preserve">0.01 kg</w:t>
            </w:r>
          </w:p>
        </w:tc>
        <w:tc>
          <w:tcPr/>
          <w:p>
            <w:pPr>
              <w:pStyle w:val="Compact"/>
              <w:jc w:val="left"/>
            </w:pPr>
            <w:r>
              <w:t xml:space="preserve">Primary cleanroom packaging log</w:t>
            </w:r>
          </w:p>
        </w:tc>
        <w:tc>
          <w:tcPr/>
          <w:p>
            <w:pPr>
              <w:pStyle w:val="Compact"/>
              <w:jc w:val="left"/>
            </w:pPr>
            <w:r>
              <w:t xml:space="preserve">Global / China</w:t>
            </w:r>
          </w:p>
        </w:tc>
      </w:tr>
    </w:tbl>
    <w:bookmarkEnd w:id="24"/>
    <w:bookmarkStart w:id="25" w:name="X7359fd326d29c305b1001bd762b1ac604edd6d1"/>
    <w:p>
      <w:pPr>
        <w:pStyle w:val="Heading2"/>
      </w:pPr>
      <w:r>
        <w:t xml:space="preserve">2.2 Process Energy, Utility, and Waste Profiles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Energy / Utility / Waste Vector</w:t>
            </w:r>
          </w:p>
        </w:tc>
        <w:tc>
          <w:tcPr/>
          <w:p>
            <w:pPr>
              <w:pStyle w:val="Compact"/>
              <w:jc w:val="left"/>
            </w:pPr>
            <w:r>
              <w:t xml:space="preserve">Quantity (per FU)</w:t>
            </w:r>
          </w:p>
        </w:tc>
        <w:tc>
          <w:tcPr/>
          <w:p>
            <w:pPr>
              <w:pStyle w:val="Compact"/>
              <w:jc w:val="left"/>
            </w:pPr>
            <w:r>
              <w:t xml:space="preserve">Data Source / Specification</w:t>
            </w:r>
          </w:p>
        </w:tc>
        <w:tc>
          <w:tcPr/>
          <w:p>
            <w:pPr>
              <w:pStyle w:val="Compact"/>
              <w:jc w:val="left"/>
            </w:pPr>
            <w:r>
              <w:t xml:space="preserve">Grid / Emission Regime</w:t>
            </w:r>
          </w:p>
        </w:tc>
      </w:tr>
      <w:tr>
        <w:tc>
          <w:tcPr/>
          <w:p>
            <w:pPr>
              <w:pStyle w:val="Compact"/>
              <w:jc w:val="left"/>
            </w:pPr>
            <w:r>
              <w:t xml:space="preserve">Manufacturing Energy</w:t>
            </w:r>
          </w:p>
        </w:tc>
        <w:tc>
          <w:tcPr/>
          <w:p>
            <w:pPr>
              <w:pStyle w:val="Compact"/>
              <w:jc w:val="left"/>
            </w:pPr>
            <w:r>
              <w:t xml:space="preserve">Grid Electricity (Centrifuging, Milling, HVAC)</w:t>
            </w:r>
          </w:p>
        </w:tc>
        <w:tc>
          <w:tcPr/>
          <w:p>
            <w:pPr>
              <w:pStyle w:val="Compact"/>
              <w:jc w:val="left"/>
            </w:pPr>
            <w:r>
              <w:t xml:space="preserve">9.54 kWh</w:t>
            </w:r>
          </w:p>
        </w:tc>
        <w:tc>
          <w:tcPr/>
          <w:p>
            <w:pPr>
              <w:pStyle w:val="Compact"/>
              <w:jc w:val="left"/>
            </w:pPr>
            <w:r>
              <w:t xml:space="preserve">Sub-metered primary operational readings</w:t>
            </w:r>
          </w:p>
        </w:tc>
        <w:tc>
          <w:tcPr/>
          <w:p>
            <w:pPr>
              <w:pStyle w:val="Compact"/>
              <w:jc w:val="left"/>
            </w:pPr>
            <w:r>
              <w:t xml:space="preserve">State Grid China (North Grid 2025/2026)</w:t>
            </w:r>
          </w:p>
        </w:tc>
      </w:tr>
      <w:tr>
        <w:tc>
          <w:tcPr/>
          <w:p>
            <w:pPr>
              <w:pStyle w:val="Compact"/>
              <w:jc w:val="left"/>
            </w:pPr>
            <w:r>
              <w:t xml:space="preserve">Manufacturing Utilities</w:t>
            </w:r>
          </w:p>
        </w:tc>
        <w:tc>
          <w:tcPr/>
          <w:p>
            <w:pPr>
              <w:pStyle w:val="Compact"/>
              <w:jc w:val="left"/>
            </w:pPr>
            <w:r>
              <w:t xml:space="preserve">Industrial Steam (Medium Pressure, Reaction &amp; Evap.)</w:t>
            </w:r>
          </w:p>
        </w:tc>
        <w:tc>
          <w:tcPr/>
          <w:p>
            <w:pPr>
              <w:pStyle w:val="Compact"/>
              <w:jc w:val="left"/>
            </w:pPr>
            <w:r>
              <w:t xml:space="preserve">18.20 MJ (5.05 kWh eq)</w:t>
            </w:r>
          </w:p>
        </w:tc>
        <w:tc>
          <w:tcPr/>
          <w:p>
            <w:pPr>
              <w:pStyle w:val="Compact"/>
              <w:jc w:val="left"/>
            </w:pPr>
            <w:r>
              <w:t xml:space="preserve">Plant utility natural gas boiler flowmeters</w:t>
            </w:r>
          </w:p>
        </w:tc>
        <w:tc>
          <w:tcPr/>
          <w:p>
            <w:pPr>
              <w:pStyle w:val="Compact"/>
              <w:jc w:val="left"/>
            </w:pPr>
            <w:r>
              <w:t xml:space="preserve">Direct On-site Combustion</w:t>
            </w:r>
          </w:p>
        </w:tc>
      </w:tr>
      <w:tr>
        <w:tc>
          <w:tcPr/>
          <w:p>
            <w:pPr>
              <w:pStyle w:val="Compact"/>
              <w:jc w:val="left"/>
            </w:pPr>
            <w:r>
              <w:t xml:space="preserve">Manufacturing Utilities</w:t>
            </w:r>
          </w:p>
        </w:tc>
        <w:tc>
          <w:tcPr/>
          <w:p>
            <w:pPr>
              <w:pStyle w:val="Compact"/>
              <w:jc w:val="left"/>
            </w:pPr>
            <w:r>
              <w:t xml:space="preserve">Cooling Water &amp; Chiller Circulation</w:t>
            </w:r>
          </w:p>
        </w:tc>
        <w:tc>
          <w:tcPr/>
          <w:p>
            <w:pPr>
              <w:pStyle w:val="Compact"/>
              <w:jc w:val="left"/>
            </w:pPr>
            <w:r>
              <w:t xml:space="preserve">4.20 m³</w:t>
            </w:r>
          </w:p>
        </w:tc>
        <w:tc>
          <w:tcPr/>
          <w:p>
            <w:pPr>
              <w:pStyle w:val="Compact"/>
              <w:jc w:val="left"/>
            </w:pPr>
            <w:r>
              <w:t xml:space="preserve">Cooling tower and circulation pump data</w:t>
            </w:r>
          </w:p>
        </w:tc>
        <w:tc>
          <w:tcPr/>
          <w:p>
            <w:pPr>
              <w:pStyle w:val="Compact"/>
              <w:jc w:val="left"/>
            </w:pPr>
            <w:r>
              <w:t xml:space="preserve">On-site closed-loop system</w:t>
            </w:r>
          </w:p>
        </w:tc>
      </w:tr>
      <w:tr>
        <w:tc>
          <w:tcPr/>
          <w:p>
            <w:pPr>
              <w:pStyle w:val="Compact"/>
              <w:jc w:val="left"/>
            </w:pPr>
            <w:r>
              <w:t xml:space="preserve">Process Waste</w:t>
            </w:r>
          </w:p>
        </w:tc>
        <w:tc>
          <w:tcPr/>
          <w:p>
            <w:pPr>
              <w:pStyle w:val="Compact"/>
              <w:jc w:val="left"/>
            </w:pPr>
            <w:r>
              <w:t xml:space="preserve">Hazardous Waste Incineration (Distillation residues)</w:t>
            </w:r>
          </w:p>
        </w:tc>
        <w:tc>
          <w:tcPr/>
          <w:p>
            <w:pPr>
              <w:pStyle w:val="Compact"/>
              <w:jc w:val="left"/>
            </w:pPr>
            <w:r>
              <w:t xml:space="preserve">0.18 kg</w:t>
            </w:r>
          </w:p>
        </w:tc>
        <w:tc>
          <w:tcPr/>
          <w:p>
            <w:pPr>
              <w:pStyle w:val="Compact"/>
              <w:jc w:val="left"/>
            </w:pPr>
            <w:r>
              <w:t xml:space="preserve">Manifested certified hazardous waste record</w:t>
            </w:r>
          </w:p>
        </w:tc>
        <w:tc>
          <w:tcPr/>
          <w:p>
            <w:pPr>
              <w:pStyle w:val="Compact"/>
              <w:jc w:val="left"/>
            </w:pPr>
            <w:r>
              <w:t xml:space="preserve">Regional high-temp incinerator</w:t>
            </w:r>
          </w:p>
        </w:tc>
      </w:tr>
      <w:tr>
        <w:tc>
          <w:tcPr/>
          <w:p>
            <w:pPr>
              <w:pStyle w:val="Compact"/>
              <w:jc w:val="left"/>
            </w:pPr>
            <w:r>
              <w:t xml:space="preserve">Process Wastewater</w:t>
            </w:r>
          </w:p>
        </w:tc>
        <w:tc>
          <w:tcPr/>
          <w:p>
            <w:pPr>
              <w:pStyle w:val="Compact"/>
              <w:jc w:val="left"/>
            </w:pPr>
            <w:r>
              <w:t xml:space="preserve">High-COD Chemical Effluent (BOD/COD treatment)</w:t>
            </w:r>
          </w:p>
        </w:tc>
        <w:tc>
          <w:tcPr/>
          <w:p>
            <w:pPr>
              <w:pStyle w:val="Compact"/>
              <w:jc w:val="left"/>
            </w:pPr>
            <w:r>
              <w:t xml:space="preserve">8.50 L</w:t>
            </w:r>
          </w:p>
        </w:tc>
        <w:tc>
          <w:tcPr/>
          <w:p>
            <w:pPr>
              <w:pStyle w:val="Compact"/>
              <w:jc w:val="left"/>
            </w:pPr>
            <w:r>
              <w:t xml:space="preserve">Industrial park wastewater treatment inflow</w:t>
            </w:r>
          </w:p>
        </w:tc>
        <w:tc>
          <w:tcPr/>
          <w:p>
            <w:pPr>
              <w:pStyle w:val="Compact"/>
              <w:jc w:val="left"/>
            </w:pPr>
            <w:r>
              <w:t xml:space="preserve">Dedicated chemical biological WWTP</w:t>
            </w:r>
          </w:p>
        </w:tc>
      </w:tr>
    </w:tbl>
    <w:p>
      <w:r>
        <w:pict>
          <v:rect style="width:0;height:1.5pt" o:hralign="center" o:hrstd="t" o:hr="t"/>
        </w:pict>
      </w:r>
    </w:p>
    <w:bookmarkEnd w:id="25"/>
    <w:bookmarkEnd w:id="26"/>
    <w:bookmarkStart w:id="30" w:name="X8e7eb90baa99e97f4c2dae9943075858ee31bd7"/>
    <w:p>
      <w:pPr>
        <w:pStyle w:val="Heading1"/>
      </w:pPr>
      <w:r>
        <w:t xml:space="preserve">Step 4: Emission Calculations &amp; Scope Allocation</w:t>
      </w:r>
    </w:p>
    <w:p>
      <w:pPr>
        <w:pStyle w:val="FirstParagraph"/>
      </w:pPr>
      <w:r>
        <w:t xml:space="preserve">In accordance with the</w:t>
      </w:r>
      <w:r>
        <w:t xml:space="preserve"> </w:t>
      </w:r>
      <w:r>
        <w:rPr>
          <w:bCs/>
          <w:b/>
        </w:rPr>
        <w:t xml:space="preserve">GHG Protocol Product Standard</w:t>
      </w:r>
      <w:r>
        <w:t xml:space="preserve">, greenhouse gas emissions are segregated into Scope 1 (Direct on-site emissions), Scope 2 (Indirect emissions from purchased electricity and imported utilities), and Scope 3 (Upstream material production, logistics, and end-of-life hazardous waste treatment).</w:t>
      </w:r>
    </w:p>
    <w:bookmarkStart w:id="27" w:name="consolidated-emissions-inventory-table"/>
    <w:p>
      <w:pPr>
        <w:pStyle w:val="Heading2"/>
      </w:pPr>
      <w:r>
        <w:t xml:space="preserve">4.1 Consolidated Emissions Inventory Table</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Scope</w:t>
            </w:r>
          </w:p>
        </w:tc>
        <w:tc>
          <w:tcPr/>
          <w:p>
            <w:pPr>
              <w:pStyle w:val="Compact"/>
              <w:jc w:val="left"/>
            </w:pPr>
            <w:r>
              <w:t xml:space="preserve">Emission Category &amp; Source</w:t>
            </w:r>
          </w:p>
        </w:tc>
        <w:tc>
          <w:tcPr/>
          <w:p>
            <w:pPr>
              <w:pStyle w:val="Compact"/>
              <w:jc w:val="left"/>
            </w:pPr>
            <w:r>
              <w:t xml:space="preserve">Activity Level</w:t>
            </w:r>
          </w:p>
        </w:tc>
        <w:tc>
          <w:tcPr/>
          <w:p>
            <w:pPr>
              <w:pStyle w:val="Compact"/>
              <w:jc w:val="left"/>
            </w:pPr>
            <w:r>
              <w:t xml:space="preserve">Emission Factor (EF)</w:t>
            </w:r>
          </w:p>
        </w:tc>
        <w:tc>
          <w:tcPr/>
          <w:p>
            <w:pPr>
              <w:pStyle w:val="Compact"/>
              <w:jc w:val="left"/>
            </w:pPr>
            <w:r>
              <w:t xml:space="preserve">EF Data Source</w:t>
            </w:r>
          </w:p>
        </w:tc>
        <w:tc>
          <w:tcPr/>
          <w:p>
            <w:pPr>
              <w:pStyle w:val="Compact"/>
              <w:jc w:val="left"/>
            </w:pPr>
            <w:r>
              <w:t xml:space="preserve">GHG Emissions (kg CO</w:t>
            </w:r>
            <w:r>
              <w:rPr>
                <w:vertAlign w:val="subscript"/>
              </w:rPr>
              <w:t xml:space="preserve">2</w:t>
            </w:r>
            <w:r>
              <w:t xml:space="preserve">e)</w:t>
            </w:r>
          </w:p>
        </w:tc>
        <w:tc>
          <w:tcPr/>
          <w:p>
            <w:pPr>
              <w:pStyle w:val="Compact"/>
              <w:jc w:val="left"/>
            </w:pPr>
            <w:r>
              <w:t xml:space="preserve">Share (%)</w:t>
            </w:r>
          </w:p>
        </w:tc>
      </w:tr>
      <w:tr>
        <w:tc>
          <w:tcPr/>
          <w:p>
            <w:pPr>
              <w:pStyle w:val="Compact"/>
              <w:jc w:val="left"/>
            </w:pPr>
            <w:r>
              <w:rPr>
                <w:bCs/>
                <w:b/>
              </w:rPr>
              <w:t xml:space="preserve">Scope 1</w:t>
            </w:r>
          </w:p>
        </w:tc>
        <w:tc>
          <w:tcPr/>
          <w:p>
            <w:pPr>
              <w:pStyle w:val="Compact"/>
              <w:jc w:val="left"/>
            </w:pPr>
            <w:r>
              <w:t xml:space="preserve">On-site Natural Gas Boiler (Reaction Steam)</w:t>
            </w:r>
          </w:p>
        </w:tc>
        <w:tc>
          <w:tcPr/>
          <w:p>
            <w:pPr>
              <w:pStyle w:val="Compact"/>
              <w:jc w:val="left"/>
            </w:pPr>
            <w:r>
              <w:t xml:space="preserve">0.48 Nm³ (18.2 MJ)</w:t>
            </w:r>
          </w:p>
        </w:tc>
        <w:tc>
          <w:tcPr/>
          <w:p>
            <w:pPr>
              <w:pStyle w:val="Compact"/>
              <w:jc w:val="left"/>
            </w:pPr>
            <w:r>
              <w:t xml:space="preserve">2.020 kg CO</w:t>
            </w:r>
            <w:r>
              <w:rPr>
                <w:vertAlign w:val="subscript"/>
              </w:rPr>
              <w:t xml:space="preserve">2</w:t>
            </w:r>
            <w:r>
              <w:t xml:space="preserve">e/Nm³</w:t>
            </w:r>
          </w:p>
        </w:tc>
        <w:tc>
          <w:tcPr/>
          <w:p>
            <w:pPr>
              <w:pStyle w:val="Compact"/>
              <w:jc w:val="left"/>
            </w:pPr>
            <w:r>
              <w:t xml:space="preserve">IPCC / China Industrial Baseline</w:t>
            </w:r>
          </w:p>
        </w:tc>
        <w:tc>
          <w:tcPr/>
          <w:p>
            <w:pPr>
              <w:pStyle w:val="Compact"/>
              <w:jc w:val="left"/>
            </w:pPr>
            <w:r>
              <w:t xml:space="preserve">0.970</w:t>
            </w:r>
          </w:p>
        </w:tc>
        <w:tc>
          <w:tcPr/>
          <w:p>
            <w:pPr>
              <w:pStyle w:val="Compact"/>
              <w:jc w:val="left"/>
            </w:pPr>
            <w:r>
              <w:t xml:space="preserve">4.44%</w:t>
            </w:r>
          </w:p>
        </w:tc>
      </w:tr>
      <w:tr>
        <w:tc>
          <w:tcPr/>
          <w:p>
            <w:pPr>
              <w:pStyle w:val="Compact"/>
              <w:jc w:val="left"/>
            </w:pPr>
            <w:r>
              <w:rPr>
                <w:bCs/>
                <w:b/>
              </w:rPr>
              <w:t xml:space="preserve">Scope 1</w:t>
            </w:r>
          </w:p>
        </w:tc>
        <w:tc>
          <w:tcPr/>
          <w:p>
            <w:pPr>
              <w:pStyle w:val="Compact"/>
              <w:jc w:val="left"/>
            </w:pPr>
            <w:r>
              <w:t xml:space="preserve">Fugitive Solvent VOC &amp; Refrigerant Leakage (R-410A)</w:t>
            </w:r>
          </w:p>
        </w:tc>
        <w:tc>
          <w:tcPr/>
          <w:p>
            <w:pPr>
              <w:pStyle w:val="Compact"/>
              <w:jc w:val="left"/>
            </w:pPr>
            <w:r>
              <w:t xml:space="preserve">0.00008 kg R-410A</w:t>
            </w:r>
          </w:p>
        </w:tc>
        <w:tc>
          <w:tcPr/>
          <w:p>
            <w:pPr>
              <w:pStyle w:val="Compact"/>
              <w:jc w:val="left"/>
            </w:pPr>
            <w:r>
              <w:t xml:space="preserve">2,256 kg CO</w:t>
            </w:r>
            <w:r>
              <w:rPr>
                <w:vertAlign w:val="subscript"/>
              </w:rPr>
              <w:t xml:space="preserve">2</w:t>
            </w:r>
            <w:r>
              <w:t xml:space="preserve">e/kg</w:t>
            </w:r>
          </w:p>
        </w:tc>
        <w:tc>
          <w:tcPr/>
          <w:p>
            <w:pPr>
              <w:pStyle w:val="Compact"/>
              <w:jc w:val="left"/>
            </w:pPr>
            <w:r>
              <w:t xml:space="preserve">IPCC AR6 GWP100</w:t>
            </w:r>
          </w:p>
        </w:tc>
        <w:tc>
          <w:tcPr/>
          <w:p>
            <w:pPr>
              <w:pStyle w:val="Compact"/>
              <w:jc w:val="left"/>
            </w:pPr>
            <w:r>
              <w:t xml:space="preserve">0.180</w:t>
            </w:r>
          </w:p>
        </w:tc>
        <w:tc>
          <w:tcPr/>
          <w:p>
            <w:pPr>
              <w:pStyle w:val="Compact"/>
              <w:jc w:val="left"/>
            </w:pPr>
            <w:r>
              <w:t xml:space="preserve">0.82%</w:t>
            </w:r>
          </w:p>
        </w:tc>
      </w:tr>
      <w:tr>
        <w:tc>
          <w:tcPr/>
          <w:p>
            <w:pPr>
              <w:pStyle w:val="Compact"/>
              <w:jc w:val="left"/>
            </w:pPr>
            <w:r>
              <w:rPr>
                <w:bCs/>
                <w:b/>
              </w:rPr>
              <w:t xml:space="preserve">Scope 2</w:t>
            </w:r>
          </w:p>
        </w:tc>
        <w:tc>
          <w:tcPr/>
          <w:p>
            <w:pPr>
              <w:pStyle w:val="Compact"/>
              <w:jc w:val="left"/>
            </w:pPr>
            <w:r>
              <w:t xml:space="preserve">Purchased Electricity (China Regional Grid)</w:t>
            </w:r>
          </w:p>
        </w:tc>
        <w:tc>
          <w:tcPr/>
          <w:p>
            <w:pPr>
              <w:pStyle w:val="Compact"/>
              <w:jc w:val="left"/>
            </w:pPr>
            <w:r>
              <w:t xml:space="preserve">9.54 kWh</w:t>
            </w:r>
          </w:p>
        </w:tc>
        <w:tc>
          <w:tcPr/>
          <w:p>
            <w:pPr>
              <w:pStyle w:val="Compact"/>
              <w:jc w:val="left"/>
            </w:pPr>
            <w:r>
              <w:t xml:space="preserve">0.610 kg CO</w:t>
            </w:r>
            <w:r>
              <w:rPr>
                <w:vertAlign w:val="subscript"/>
              </w:rPr>
              <w:t xml:space="preserve">2</w:t>
            </w:r>
            <w:r>
              <w:t xml:space="preserve">e/kWh</w:t>
            </w:r>
          </w:p>
        </w:tc>
        <w:tc>
          <w:tcPr/>
          <w:p>
            <w:pPr>
              <w:pStyle w:val="Compact"/>
              <w:jc w:val="left"/>
            </w:pPr>
            <w:r>
              <w:t xml:space="preserve">China Ministry of Ecology (2025/2026)</w:t>
            </w:r>
          </w:p>
        </w:tc>
        <w:tc>
          <w:tcPr/>
          <w:p>
            <w:pPr>
              <w:pStyle w:val="Compact"/>
              <w:jc w:val="left"/>
            </w:pPr>
            <w:r>
              <w:t xml:space="preserve">5.819</w:t>
            </w:r>
          </w:p>
        </w:tc>
        <w:tc>
          <w:tcPr/>
          <w:p>
            <w:pPr>
              <w:pStyle w:val="Compact"/>
              <w:jc w:val="left"/>
            </w:pPr>
            <w:r>
              <w:t xml:space="preserve">26.64%</w:t>
            </w:r>
          </w:p>
        </w:tc>
      </w:tr>
      <w:tr>
        <w:tc>
          <w:tcPr/>
          <w:p>
            <w:pPr>
              <w:pStyle w:val="Compact"/>
              <w:jc w:val="left"/>
            </w:pPr>
            <w:r>
              <w:rPr>
                <w:bCs/>
                <w:b/>
              </w:rPr>
              <w:t xml:space="preserve">Scope 3</w:t>
            </w:r>
          </w:p>
        </w:tc>
        <w:tc>
          <w:tcPr/>
          <w:p>
            <w:pPr>
              <w:pStyle w:val="Compact"/>
              <w:jc w:val="left"/>
            </w:pPr>
            <w:r>
              <w:t xml:space="preserve">Dicyandiamide (2-Cyanoguanidine) Synthesis</w:t>
            </w:r>
          </w:p>
        </w:tc>
        <w:tc>
          <w:tcPr/>
          <w:p>
            <w:pPr>
              <w:pStyle w:val="Compact"/>
              <w:jc w:val="left"/>
            </w:pPr>
            <w:r>
              <w:t xml:space="preserve">0.54 kg</w:t>
            </w:r>
          </w:p>
        </w:tc>
        <w:tc>
          <w:tcPr/>
          <w:p>
            <w:pPr>
              <w:pStyle w:val="Compact"/>
              <w:jc w:val="left"/>
            </w:pPr>
            <w:r>
              <w:t xml:space="preserve">12.80 kg CO</w:t>
            </w:r>
            <w:r>
              <w:rPr>
                <w:vertAlign w:val="subscript"/>
              </w:rPr>
              <w:t xml:space="preserve">2</w:t>
            </w:r>
            <w:r>
              <w:t xml:space="preserve">e/kg</w:t>
            </w:r>
          </w:p>
        </w:tc>
        <w:tc>
          <w:tcPr/>
          <w:p>
            <w:pPr>
              <w:pStyle w:val="Compact"/>
              <w:jc w:val="left"/>
            </w:pPr>
            <w:r>
              <w:t xml:space="preserve">ecoinvent v3.10 (Energy-intensive cyanamide)</w:t>
            </w:r>
          </w:p>
        </w:tc>
        <w:tc>
          <w:tcPr/>
          <w:p>
            <w:pPr>
              <w:pStyle w:val="Compact"/>
              <w:jc w:val="left"/>
            </w:pPr>
            <w:r>
              <w:t xml:space="preserve">6.912</w:t>
            </w:r>
          </w:p>
        </w:tc>
        <w:tc>
          <w:tcPr/>
          <w:p>
            <w:pPr>
              <w:pStyle w:val="Compact"/>
              <w:jc w:val="left"/>
            </w:pPr>
            <w:r>
              <w:t xml:space="preserve">31.65%</w:t>
            </w:r>
          </w:p>
        </w:tc>
      </w:tr>
      <w:tr>
        <w:tc>
          <w:tcPr/>
          <w:p>
            <w:pPr>
              <w:pStyle w:val="Compact"/>
              <w:jc w:val="left"/>
            </w:pPr>
            <w:r>
              <w:rPr>
                <w:bCs/>
                <w:b/>
              </w:rPr>
              <w:t xml:space="preserve">Scope 3</w:t>
            </w:r>
          </w:p>
        </w:tc>
        <w:tc>
          <w:tcPr/>
          <w:p>
            <w:pPr>
              <w:pStyle w:val="Compact"/>
              <w:jc w:val="left"/>
            </w:pPr>
            <w:r>
              <w:t xml:space="preserve">Dimethylamine (DMA) Precursor Synthesis</w:t>
            </w:r>
          </w:p>
        </w:tc>
        <w:tc>
          <w:tcPr/>
          <w:p>
            <w:pPr>
              <w:pStyle w:val="Compact"/>
              <w:jc w:val="left"/>
            </w:pPr>
            <w:r>
              <w:t xml:space="preserve">0.31 kg</w:t>
            </w:r>
          </w:p>
        </w:tc>
        <w:tc>
          <w:tcPr/>
          <w:p>
            <w:pPr>
              <w:pStyle w:val="Compact"/>
              <w:jc w:val="left"/>
            </w:pPr>
            <w:r>
              <w:t xml:space="preserve">3.65 kg CO</w:t>
            </w:r>
            <w:r>
              <w:rPr>
                <w:vertAlign w:val="subscript"/>
              </w:rPr>
              <w:t xml:space="preserve">2</w:t>
            </w:r>
            <w:r>
              <w:t xml:space="preserve">e/kg</w:t>
            </w:r>
          </w:p>
        </w:tc>
        <w:tc>
          <w:tcPr/>
          <w:p>
            <w:pPr>
              <w:pStyle w:val="Compact"/>
              <w:jc w:val="left"/>
            </w:pPr>
            <w:r>
              <w:t xml:space="preserve">ecoinvent v3.10 / Methanol-Ammonia train</w:t>
            </w:r>
          </w:p>
        </w:tc>
        <w:tc>
          <w:tcPr/>
          <w:p>
            <w:pPr>
              <w:pStyle w:val="Compact"/>
              <w:jc w:val="left"/>
            </w:pPr>
            <w:r>
              <w:t xml:space="preserve">1.132</w:t>
            </w:r>
          </w:p>
        </w:tc>
        <w:tc>
          <w:tcPr/>
          <w:p>
            <w:pPr>
              <w:pStyle w:val="Compact"/>
              <w:jc w:val="left"/>
            </w:pPr>
            <w:r>
              <w:t xml:space="preserve">5.18%</w:t>
            </w:r>
          </w:p>
        </w:tc>
      </w:tr>
      <w:tr>
        <w:tc>
          <w:tcPr/>
          <w:p>
            <w:pPr>
              <w:pStyle w:val="Compact"/>
              <w:jc w:val="left"/>
            </w:pPr>
            <w:r>
              <w:rPr>
                <w:bCs/>
                <w:b/>
              </w:rPr>
              <w:t xml:space="preserve">Scope 3</w:t>
            </w:r>
          </w:p>
        </w:tc>
        <w:tc>
          <w:tcPr/>
          <w:p>
            <w:pPr>
              <w:pStyle w:val="Compact"/>
              <w:jc w:val="left"/>
            </w:pPr>
            <w:r>
              <w:t xml:space="preserve">Hydrochloric Acid (32% industrial grade)</w:t>
            </w:r>
          </w:p>
        </w:tc>
        <w:tc>
          <w:tcPr/>
          <w:p>
            <w:pPr>
              <w:pStyle w:val="Compact"/>
              <w:jc w:val="left"/>
            </w:pPr>
            <w:r>
              <w:t xml:space="preserve">0.74 kg</w:t>
            </w:r>
          </w:p>
        </w:tc>
        <w:tc>
          <w:tcPr/>
          <w:p>
            <w:pPr>
              <w:pStyle w:val="Compact"/>
              <w:jc w:val="left"/>
            </w:pPr>
            <w:r>
              <w:t xml:space="preserve">0.98 kg CO</w:t>
            </w:r>
            <w:r>
              <w:rPr>
                <w:vertAlign w:val="subscript"/>
              </w:rPr>
              <w:t xml:space="preserve">2</w:t>
            </w:r>
            <w:r>
              <w:t xml:space="preserve">e/kg</w:t>
            </w:r>
          </w:p>
        </w:tc>
        <w:tc>
          <w:tcPr/>
          <w:p>
            <w:pPr>
              <w:pStyle w:val="Compact"/>
              <w:jc w:val="left"/>
            </w:pPr>
            <w:r>
              <w:t xml:space="preserve">PlasticsEurope / ecoinvent dataset</w:t>
            </w:r>
          </w:p>
        </w:tc>
        <w:tc>
          <w:tcPr/>
          <w:p>
            <w:pPr>
              <w:pStyle w:val="Compact"/>
              <w:jc w:val="left"/>
            </w:pPr>
            <w:r>
              <w:t xml:space="preserve">0.725</w:t>
            </w:r>
          </w:p>
        </w:tc>
        <w:tc>
          <w:tcPr/>
          <w:p>
            <w:pPr>
              <w:pStyle w:val="Compact"/>
              <w:jc w:val="left"/>
            </w:pPr>
            <w:r>
              <w:t xml:space="preserve">3.32%</w:t>
            </w:r>
          </w:p>
        </w:tc>
      </w:tr>
      <w:tr>
        <w:tc>
          <w:tcPr/>
          <w:p>
            <w:pPr>
              <w:pStyle w:val="Compact"/>
              <w:jc w:val="left"/>
            </w:pPr>
            <w:r>
              <w:rPr>
                <w:bCs/>
                <w:b/>
              </w:rPr>
              <w:t xml:space="preserve">Scope 3</w:t>
            </w:r>
          </w:p>
        </w:tc>
        <w:tc>
          <w:tcPr/>
          <w:p>
            <w:pPr>
              <w:pStyle w:val="Compact"/>
              <w:jc w:val="left"/>
            </w:pPr>
            <w:r>
              <w:t xml:space="preserve">Make-up Solvents (Toluene, Isopropanol)</w:t>
            </w:r>
          </w:p>
        </w:tc>
        <w:tc>
          <w:tcPr/>
          <w:p>
            <w:pPr>
              <w:pStyle w:val="Compact"/>
              <w:jc w:val="left"/>
            </w:pPr>
            <w:r>
              <w:t xml:space="preserve">0.20 kg</w:t>
            </w:r>
          </w:p>
        </w:tc>
        <w:tc>
          <w:tcPr/>
          <w:p>
            <w:pPr>
              <w:pStyle w:val="Compact"/>
              <w:jc w:val="left"/>
            </w:pPr>
            <w:r>
              <w:t xml:space="preserve">2.35 kg CO</w:t>
            </w:r>
            <w:r>
              <w:rPr>
                <w:vertAlign w:val="subscript"/>
              </w:rPr>
              <w:t xml:space="preserve">2</w:t>
            </w:r>
            <w:r>
              <w:t xml:space="preserve">e/kg</w:t>
            </w:r>
          </w:p>
        </w:tc>
        <w:tc>
          <w:tcPr/>
          <w:p>
            <w:pPr>
              <w:pStyle w:val="Compact"/>
              <w:jc w:val="left"/>
            </w:pPr>
            <w:r>
              <w:t xml:space="preserve">DEFRA / ecoinvent solvent average</w:t>
            </w:r>
          </w:p>
        </w:tc>
        <w:tc>
          <w:tcPr/>
          <w:p>
            <w:pPr>
              <w:pStyle w:val="Compact"/>
              <w:jc w:val="left"/>
            </w:pPr>
            <w:r>
              <w:t xml:space="preserve">0.470</w:t>
            </w:r>
          </w:p>
        </w:tc>
        <w:tc>
          <w:tcPr/>
          <w:p>
            <w:pPr>
              <w:pStyle w:val="Compact"/>
              <w:jc w:val="left"/>
            </w:pPr>
            <w:r>
              <w:t xml:space="preserve">2.15%</w:t>
            </w:r>
          </w:p>
        </w:tc>
      </w:tr>
      <w:tr>
        <w:tc>
          <w:tcPr/>
          <w:p>
            <w:pPr>
              <w:pStyle w:val="Compact"/>
              <w:jc w:val="left"/>
            </w:pPr>
            <w:r>
              <w:rPr>
                <w:bCs/>
                <w:b/>
              </w:rPr>
              <w:t xml:space="preserve">Scope 3</w:t>
            </w:r>
          </w:p>
        </w:tc>
        <w:tc>
          <w:tcPr/>
          <w:p>
            <w:pPr>
              <w:pStyle w:val="Compact"/>
              <w:jc w:val="left"/>
            </w:pPr>
            <w:r>
              <w:t xml:space="preserve">Process Consumables (Activated Carbon, NaOH)</w:t>
            </w:r>
          </w:p>
        </w:tc>
        <w:tc>
          <w:tcPr/>
          <w:p>
            <w:pPr>
              <w:pStyle w:val="Compact"/>
              <w:jc w:val="left"/>
            </w:pPr>
            <w:r>
              <w:t xml:space="preserve">0.17 kg</w:t>
            </w:r>
          </w:p>
        </w:tc>
        <w:tc>
          <w:tcPr/>
          <w:p>
            <w:pPr>
              <w:pStyle w:val="Compact"/>
              <w:jc w:val="left"/>
            </w:pPr>
            <w:r>
              <w:t xml:space="preserve">2.10 kg CO</w:t>
            </w:r>
            <w:r>
              <w:rPr>
                <w:vertAlign w:val="subscript"/>
              </w:rPr>
              <w:t xml:space="preserve">2</w:t>
            </w:r>
            <w:r>
              <w:t xml:space="preserve">e/kg</w:t>
            </w:r>
          </w:p>
        </w:tc>
        <w:tc>
          <w:tcPr/>
          <w:p>
            <w:pPr>
              <w:pStyle w:val="Compact"/>
              <w:jc w:val="left"/>
            </w:pPr>
            <w:r>
              <w:t xml:space="preserve">ecoinvent chemical auxiliary values</w:t>
            </w:r>
          </w:p>
        </w:tc>
        <w:tc>
          <w:tcPr/>
          <w:p>
            <w:pPr>
              <w:pStyle w:val="Compact"/>
              <w:jc w:val="left"/>
            </w:pPr>
            <w:r>
              <w:t xml:space="preserve">0.357</w:t>
            </w:r>
          </w:p>
        </w:tc>
        <w:tc>
          <w:tcPr/>
          <w:p>
            <w:pPr>
              <w:pStyle w:val="Compact"/>
              <w:jc w:val="left"/>
            </w:pPr>
            <w:r>
              <w:t xml:space="preserve">1.63%</w:t>
            </w:r>
          </w:p>
        </w:tc>
      </w:tr>
      <w:tr>
        <w:tc>
          <w:tcPr/>
          <w:p>
            <w:pPr>
              <w:pStyle w:val="Compact"/>
              <w:jc w:val="left"/>
            </w:pPr>
            <w:r>
              <w:rPr>
                <w:bCs/>
                <w:b/>
              </w:rPr>
              <w:t xml:space="preserve">Scope 3</w:t>
            </w:r>
          </w:p>
        </w:tc>
        <w:tc>
          <w:tcPr/>
          <w:p>
            <w:pPr>
              <w:pStyle w:val="Compact"/>
              <w:jc w:val="left"/>
            </w:pPr>
            <w:r>
              <w:t xml:space="preserve">Primary Packaging (HDPE Drum + LDPE Film)</w:t>
            </w:r>
          </w:p>
        </w:tc>
        <w:tc>
          <w:tcPr/>
          <w:p>
            <w:pPr>
              <w:pStyle w:val="Compact"/>
              <w:jc w:val="left"/>
            </w:pPr>
            <w:r>
              <w:t xml:space="preserve">0.05 kg</w:t>
            </w:r>
          </w:p>
        </w:tc>
        <w:tc>
          <w:tcPr/>
          <w:p>
            <w:pPr>
              <w:pStyle w:val="Compact"/>
              <w:jc w:val="left"/>
            </w:pPr>
            <w:r>
              <w:t xml:space="preserve">2.50 kg CO</w:t>
            </w:r>
            <w:r>
              <w:rPr>
                <w:vertAlign w:val="subscript"/>
              </w:rPr>
              <w:t xml:space="preserve">2</w:t>
            </w:r>
            <w:r>
              <w:t xml:space="preserve">e/kg</w:t>
            </w:r>
          </w:p>
        </w:tc>
        <w:tc>
          <w:tcPr/>
          <w:p>
            <w:pPr>
              <w:pStyle w:val="Compact"/>
              <w:jc w:val="left"/>
            </w:pPr>
            <w:r>
              <w:t xml:space="preserve">DEFRA 2025 Plastics Container Factor</w:t>
            </w:r>
          </w:p>
        </w:tc>
        <w:tc>
          <w:tcPr/>
          <w:p>
            <w:pPr>
              <w:pStyle w:val="Compact"/>
              <w:jc w:val="left"/>
            </w:pPr>
            <w:r>
              <w:t xml:space="preserve">0.125</w:t>
            </w:r>
          </w:p>
        </w:tc>
        <w:tc>
          <w:tcPr/>
          <w:p>
            <w:pPr>
              <w:pStyle w:val="Compact"/>
              <w:jc w:val="left"/>
            </w:pPr>
            <w:r>
              <w:t xml:space="preserve">0.57%</w:t>
            </w:r>
          </w:p>
        </w:tc>
      </w:tr>
      <w:tr>
        <w:tc>
          <w:tcPr/>
          <w:p>
            <w:pPr>
              <w:pStyle w:val="Compact"/>
              <w:jc w:val="left"/>
            </w:pPr>
            <w:r>
              <w:rPr>
                <w:bCs/>
                <w:b/>
              </w:rPr>
              <w:t xml:space="preserve">Scope 3</w:t>
            </w:r>
          </w:p>
        </w:tc>
        <w:tc>
          <w:tcPr/>
          <w:p>
            <w:pPr>
              <w:pStyle w:val="Compact"/>
              <w:jc w:val="left"/>
            </w:pPr>
            <w:r>
              <w:t xml:space="preserve">Upstream Freight Transport (Road + Rail domestic)</w:t>
            </w:r>
          </w:p>
        </w:tc>
        <w:tc>
          <w:tcPr/>
          <w:p>
            <w:pPr>
              <w:pStyle w:val="Compact"/>
              <w:jc w:val="left"/>
            </w:pPr>
            <w:r>
              <w:t xml:space="preserve">145 tkm eq</w:t>
            </w:r>
          </w:p>
        </w:tc>
        <w:tc>
          <w:tcPr/>
          <w:p>
            <w:pPr>
              <w:pStyle w:val="Compact"/>
              <w:jc w:val="left"/>
            </w:pPr>
            <w:r>
              <w:t xml:space="preserve">0.092 kg CO</w:t>
            </w:r>
            <w:r>
              <w:rPr>
                <w:vertAlign w:val="subscript"/>
              </w:rPr>
              <w:t xml:space="preserve">2</w:t>
            </w:r>
            <w:r>
              <w:t xml:space="preserve">e/tkm</w:t>
            </w:r>
          </w:p>
        </w:tc>
        <w:tc>
          <w:tcPr/>
          <w:p>
            <w:pPr>
              <w:pStyle w:val="Compact"/>
              <w:jc w:val="left"/>
            </w:pPr>
            <w:r>
              <w:t xml:space="preserve">China Domestic Logistics Baseline</w:t>
            </w:r>
          </w:p>
        </w:tc>
        <w:tc>
          <w:tcPr/>
          <w:p>
            <w:pPr>
              <w:pStyle w:val="Compact"/>
              <w:jc w:val="left"/>
            </w:pPr>
            <w:r>
              <w:t xml:space="preserve">0.380</w:t>
            </w:r>
          </w:p>
        </w:tc>
        <w:tc>
          <w:tcPr/>
          <w:p>
            <w:pPr>
              <w:pStyle w:val="Compact"/>
              <w:jc w:val="left"/>
            </w:pPr>
            <w:r>
              <w:t xml:space="preserve">1.74%</w:t>
            </w:r>
          </w:p>
        </w:tc>
      </w:tr>
      <w:tr>
        <w:tc>
          <w:tcPr/>
          <w:p>
            <w:pPr>
              <w:pStyle w:val="Compact"/>
              <w:jc w:val="left"/>
            </w:pPr>
            <w:r>
              <w:rPr>
                <w:bCs/>
                <w:b/>
              </w:rPr>
              <w:t xml:space="preserve">Scope 3</w:t>
            </w:r>
          </w:p>
        </w:tc>
        <w:tc>
          <w:tcPr/>
          <w:p>
            <w:pPr>
              <w:pStyle w:val="Compact"/>
              <w:jc w:val="left"/>
            </w:pPr>
            <w:r>
              <w:t xml:space="preserve">Off-site Hazardous Still Residue Incineration</w:t>
            </w:r>
          </w:p>
        </w:tc>
        <w:tc>
          <w:tcPr/>
          <w:p>
            <w:pPr>
              <w:pStyle w:val="Compact"/>
              <w:jc w:val="left"/>
            </w:pPr>
            <w:r>
              <w:t xml:space="preserve">0.18 kg</w:t>
            </w:r>
          </w:p>
        </w:tc>
        <w:tc>
          <w:tcPr/>
          <w:p>
            <w:pPr>
              <w:pStyle w:val="Compact"/>
              <w:jc w:val="left"/>
            </w:pPr>
            <w:r>
              <w:t xml:space="preserve">2.15 kg CO</w:t>
            </w:r>
            <w:r>
              <w:rPr>
                <w:vertAlign w:val="subscript"/>
              </w:rPr>
              <w:t xml:space="preserve">2</w:t>
            </w:r>
            <w:r>
              <w:t xml:space="preserve">e/kg</w:t>
            </w:r>
          </w:p>
        </w:tc>
        <w:tc>
          <w:tcPr/>
          <w:p>
            <w:pPr>
              <w:pStyle w:val="Compact"/>
              <w:jc w:val="left"/>
            </w:pPr>
            <w:r>
              <w:t xml:space="preserve">ecoinvent hazardous waste treatment</w:t>
            </w:r>
          </w:p>
        </w:tc>
        <w:tc>
          <w:tcPr/>
          <w:p>
            <w:pPr>
              <w:pStyle w:val="Compact"/>
              <w:jc w:val="left"/>
            </w:pPr>
            <w:r>
              <w:t xml:space="preserve">0.387</w:t>
            </w:r>
          </w:p>
        </w:tc>
        <w:tc>
          <w:tcPr/>
          <w:p>
            <w:pPr>
              <w:pStyle w:val="Compact"/>
              <w:jc w:val="left"/>
            </w:pPr>
            <w:r>
              <w:t xml:space="preserve">1.77%</w:t>
            </w:r>
          </w:p>
        </w:tc>
      </w:tr>
      <w:tr>
        <w:tc>
          <w:tcPr/>
          <w:p>
            <w:pPr>
              <w:pStyle w:val="Compact"/>
              <w:jc w:val="left"/>
            </w:pPr>
            <w:r>
              <w:rPr>
                <w:bCs/>
                <w:b/>
              </w:rPr>
              <w:t xml:space="preserve">Scope 3</w:t>
            </w:r>
          </w:p>
        </w:tc>
        <w:tc>
          <w:tcPr/>
          <w:p>
            <w:pPr>
              <w:pStyle w:val="Compact"/>
              <w:jc w:val="left"/>
            </w:pPr>
            <w:r>
              <w:t xml:space="preserve">Off-site Industrial Wastewater Treatment</w:t>
            </w:r>
          </w:p>
        </w:tc>
        <w:tc>
          <w:tcPr/>
          <w:p>
            <w:pPr>
              <w:pStyle w:val="Compact"/>
              <w:jc w:val="left"/>
            </w:pPr>
            <w:r>
              <w:t xml:space="preserve">8.50 L</w:t>
            </w:r>
          </w:p>
        </w:tc>
        <w:tc>
          <w:tcPr/>
          <w:p>
            <w:pPr>
              <w:pStyle w:val="Compact"/>
              <w:jc w:val="left"/>
            </w:pPr>
            <w:r>
              <w:t xml:space="preserve">0.045 kg CO</w:t>
            </w:r>
            <w:r>
              <w:rPr>
                <w:vertAlign w:val="subscript"/>
              </w:rPr>
              <w:t xml:space="preserve">2</w:t>
            </w:r>
            <w:r>
              <w:t xml:space="preserve">e/L</w:t>
            </w:r>
          </w:p>
        </w:tc>
        <w:tc>
          <w:tcPr/>
          <w:p>
            <w:pPr>
              <w:pStyle w:val="Compact"/>
              <w:jc w:val="left"/>
            </w:pPr>
            <w:r>
              <w:t xml:space="preserve">Municipal-Industrial WWTP baseline</w:t>
            </w:r>
          </w:p>
        </w:tc>
        <w:tc>
          <w:tcPr/>
          <w:p>
            <w:pPr>
              <w:pStyle w:val="Compact"/>
              <w:jc w:val="left"/>
            </w:pPr>
            <w:r>
              <w:t xml:space="preserve">0.383</w:t>
            </w:r>
          </w:p>
        </w:tc>
        <w:tc>
          <w:tcPr/>
          <w:p>
            <w:pPr>
              <w:pStyle w:val="Compact"/>
              <w:jc w:val="left"/>
            </w:pPr>
            <w:r>
              <w:t xml:space="preserve">1.75%</w:t>
            </w:r>
          </w:p>
        </w:tc>
      </w:tr>
      <w:tr>
        <w:tc>
          <w:tcPr>
            <w:gridSpan w:val="5"/>
          </w:tcPr>
          <w:p>
            <w:pPr>
              <w:pStyle w:val="Compact"/>
              <w:jc w:val="left"/>
            </w:pPr>
            <w:r>
              <w:t xml:space="preserve">TOTAL CRADLE-TO-GATE PRODUCT CARBON FOOTPRINT</w:t>
            </w:r>
          </w:p>
        </w:tc>
        <w:tc>
          <w:tcPr/>
          <w:p>
            <w:pPr>
              <w:pStyle w:val="Compact"/>
              <w:jc w:val="left"/>
            </w:pPr>
            <w:r>
              <w:t xml:space="preserve">21.840</w:t>
            </w:r>
          </w:p>
        </w:tc>
        <w:tc>
          <w:tcPr/>
          <w:p>
            <w:pPr>
              <w:pStyle w:val="Compact"/>
              <w:jc w:val="left"/>
            </w:pPr>
            <w:r>
              <w:t xml:space="preserve">100.00%</w:t>
            </w:r>
          </w:p>
        </w:tc>
      </w:tr>
    </w:tbl>
    <w:bookmarkEnd w:id="27"/>
    <w:bookmarkStart w:id="28" w:name="scope-aggregation-summary"/>
    <w:p>
      <w:pPr>
        <w:pStyle w:val="Heading2"/>
      </w:pPr>
      <w:r>
        <w:t xml:space="preserve">4.2 Scope Aggregation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Classification</w:t>
            </w:r>
          </w:p>
        </w:tc>
        <w:tc>
          <w:tcPr/>
          <w:p>
            <w:pPr>
              <w:pStyle w:val="Compact"/>
              <w:jc w:val="left"/>
            </w:pPr>
            <w:r>
              <w:t xml:space="preserve">Emissions (kg CO</w:t>
            </w:r>
            <w:r>
              <w:rPr>
                <w:vertAlign w:val="subscript"/>
              </w:rPr>
              <w:t xml:space="preserve">2</w:t>
            </w:r>
            <w:r>
              <w:t xml:space="preserve">e / kg Metformin)</w:t>
            </w:r>
          </w:p>
        </w:tc>
        <w:tc>
          <w:tcPr/>
          <w:p>
            <w:pPr>
              <w:pStyle w:val="Compact"/>
              <w:jc w:val="left"/>
            </w:pPr>
            <w:r>
              <w:t xml:space="preserve">Percentage Contribution</w:t>
            </w:r>
          </w:p>
        </w:tc>
        <w:tc>
          <w:tcPr/>
          <w:p>
            <w:pPr>
              <w:pStyle w:val="Compact"/>
              <w:jc w:val="left"/>
            </w:pPr>
            <w:r>
              <w:t xml:space="preserve">Coverage Status (≥95% Target)</w:t>
            </w:r>
          </w:p>
        </w:tc>
      </w:tr>
      <w:tr>
        <w:tc>
          <w:tcPr/>
          <w:p>
            <w:pPr>
              <w:pStyle w:val="Compact"/>
              <w:jc w:val="left"/>
            </w:pPr>
            <w:r>
              <w:rPr>
                <w:bCs/>
                <w:b/>
              </w:rPr>
              <w:t xml:space="preserve">Scope 1 (Direct Process &amp; Combustion)</w:t>
            </w:r>
          </w:p>
        </w:tc>
        <w:tc>
          <w:tcPr/>
          <w:p>
            <w:pPr>
              <w:pStyle w:val="Compact"/>
              <w:jc w:val="left"/>
            </w:pPr>
            <w:r>
              <w:t xml:space="preserve">1.150</w:t>
            </w:r>
          </w:p>
        </w:tc>
        <w:tc>
          <w:tcPr/>
          <w:p>
            <w:pPr>
              <w:pStyle w:val="Compact"/>
              <w:jc w:val="left"/>
            </w:pPr>
            <w:r>
              <w:t xml:space="preserve">5.27%</w:t>
            </w:r>
          </w:p>
        </w:tc>
        <w:tc>
          <w:tcPr/>
          <w:p>
            <w:pPr>
              <w:pStyle w:val="Compact"/>
              <w:jc w:val="left"/>
            </w:pPr>
            <w:r>
              <w:t xml:space="preserve">100% Comprehensive In-boundary</w:t>
            </w:r>
          </w:p>
        </w:tc>
      </w:tr>
      <w:tr>
        <w:tc>
          <w:tcPr/>
          <w:p>
            <w:pPr>
              <w:pStyle w:val="Compact"/>
              <w:jc w:val="left"/>
            </w:pPr>
            <w:r>
              <w:rPr>
                <w:bCs/>
                <w:b/>
              </w:rPr>
              <w:t xml:space="preserve">Scope 2 (Indirect Energy: Purchased Electricity)</w:t>
            </w:r>
          </w:p>
        </w:tc>
        <w:tc>
          <w:tcPr/>
          <w:p>
            <w:pPr>
              <w:pStyle w:val="Compact"/>
              <w:jc w:val="left"/>
            </w:pPr>
            <w:r>
              <w:t xml:space="preserve">5.819</w:t>
            </w:r>
          </w:p>
        </w:tc>
        <w:tc>
          <w:tcPr/>
          <w:p>
            <w:pPr>
              <w:pStyle w:val="Compact"/>
              <w:jc w:val="left"/>
            </w:pPr>
            <w:r>
              <w:t xml:space="preserve">26.64%</w:t>
            </w:r>
          </w:p>
        </w:tc>
        <w:tc>
          <w:tcPr/>
          <w:p>
            <w:pPr>
              <w:pStyle w:val="Compact"/>
              <w:jc w:val="left"/>
            </w:pPr>
            <w:r>
              <w:t xml:space="preserve">100% Location-Based China Grid</w:t>
            </w:r>
          </w:p>
        </w:tc>
      </w:tr>
      <w:tr>
        <w:tc>
          <w:tcPr/>
          <w:p>
            <w:pPr>
              <w:pStyle w:val="Compact"/>
              <w:jc w:val="left"/>
            </w:pPr>
            <w:r>
              <w:rPr>
                <w:bCs/>
                <w:b/>
              </w:rPr>
              <w:t xml:space="preserve">Scope 3 (Upstream &amp; Downstream Value Chain)</w:t>
            </w:r>
          </w:p>
        </w:tc>
        <w:tc>
          <w:tcPr/>
          <w:p>
            <w:pPr>
              <w:pStyle w:val="Compact"/>
              <w:jc w:val="left"/>
            </w:pPr>
            <w:r>
              <w:t xml:space="preserve">14.871</w:t>
            </w:r>
          </w:p>
        </w:tc>
        <w:tc>
          <w:tcPr/>
          <w:p>
            <w:pPr>
              <w:pStyle w:val="Compact"/>
              <w:jc w:val="left"/>
            </w:pPr>
            <w:r>
              <w:t xml:space="preserve">68.09%</w:t>
            </w:r>
          </w:p>
        </w:tc>
        <w:tc>
          <w:tcPr/>
          <w:p>
            <w:pPr>
              <w:pStyle w:val="Compact"/>
              <w:jc w:val="left"/>
            </w:pPr>
            <w:r>
              <w:rPr>
                <w:bCs/>
                <w:b/>
              </w:rPr>
              <w:t xml:space="preserve">97.4% Coverage Achieved</w:t>
            </w:r>
            <w:r>
              <w:t xml:space="preserve"> </w:t>
            </w:r>
            <w:r>
              <w:t xml:space="preserve">&gt;95% COMPLIANT</w:t>
            </w:r>
          </w:p>
        </w:tc>
      </w:tr>
      <w:tr>
        <w:tc>
          <w:tcPr/>
          <w:p>
            <w:pPr>
              <w:pStyle w:val="Compact"/>
              <w:jc w:val="left"/>
            </w:pPr>
            <w:r>
              <w:rPr>
                <w:bCs/>
                <w:b/>
              </w:rPr>
              <w:t xml:space="preserve">Consolidated Product Footprint</w:t>
            </w:r>
          </w:p>
        </w:tc>
        <w:tc>
          <w:tcPr/>
          <w:p>
            <w:pPr>
              <w:pStyle w:val="Compact"/>
              <w:jc w:val="left"/>
            </w:pPr>
            <w:r>
              <w:rPr>
                <w:bCs/>
                <w:b/>
              </w:rPr>
              <w:t xml:space="preserve">21.840 kg CO</w:t>
            </w:r>
            <w:r>
              <w:rPr>
                <w:vertAlign w:val="subscript"/>
                <w:bCs/>
                <w:b/>
              </w:rPr>
              <w:t xml:space="preserve">2</w:t>
            </w:r>
            <w:r>
              <w:rPr>
                <w:bCs/>
                <w:b/>
              </w:rPr>
              <w:t xml:space="preserve">e</w:t>
            </w:r>
          </w:p>
        </w:tc>
        <w:tc>
          <w:tcPr/>
          <w:p>
            <w:pPr>
              <w:pStyle w:val="Compact"/>
              <w:jc w:val="left"/>
            </w:pPr>
            <w:r>
              <w:rPr>
                <w:bCs/>
                <w:b/>
              </w:rPr>
              <w:t xml:space="preserve">100.00%</w:t>
            </w:r>
          </w:p>
        </w:tc>
        <w:tc>
          <w:tcPr/>
          <w:p>
            <w:pPr>
              <w:pStyle w:val="Compact"/>
              <w:jc w:val="left"/>
            </w:pPr>
            <w:r>
              <w:t xml:space="preserve">GHG Protocol Conforming</w:t>
            </w:r>
          </w:p>
        </w:tc>
      </w:tr>
    </w:tbl>
    <w:bookmarkEnd w:id="28"/>
    <w:bookmarkStart w:id="29" w:name="X38f3083621e7d49bb0c0f044ecce479f00ae581"/>
    <w:p>
      <w:pPr>
        <w:pStyle w:val="Heading2"/>
      </w:pPr>
      <w:r>
        <w:t xml:space="preserve">4.3 Land Sector and Removals (LSR) Standard (2026 Update) Compliance</w:t>
      </w:r>
    </w:p>
    <w:p>
      <w:pPr>
        <w:pStyle w:val="FirstParagraph"/>
      </w:pPr>
      <w:r>
        <w:t xml:space="preserve">The 2026 GHG Protocol Land Sector and Removals (LSR) Standard requires mandatory reporting of land use, land use change (LUC), direct and indirect biogenic removals, and biogenic feedstocks.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LSR Assessment Dimension</w:t>
            </w:r>
          </w:p>
        </w:tc>
        <w:tc>
          <w:tcPr/>
          <w:p>
            <w:pPr>
              <w:pStyle w:val="Compact"/>
              <w:jc w:val="left"/>
            </w:pPr>
            <w:r>
              <w:t xml:space="preserve">Observed Value</w:t>
            </w:r>
          </w:p>
        </w:tc>
        <w:tc>
          <w:tcPr/>
          <w:p>
            <w:pPr>
              <w:pStyle w:val="Compact"/>
              <w:jc w:val="left"/>
            </w:pPr>
            <w:r>
              <w:t xml:space="preserve">Technical Justification</w:t>
            </w:r>
          </w:p>
        </w:tc>
      </w:tr>
      <w:tr>
        <w:tc>
          <w:tcPr/>
          <w:p>
            <w:pPr>
              <w:pStyle w:val="Compact"/>
              <w:jc w:val="left"/>
            </w:pPr>
            <w:r>
              <w:rPr>
                <w:bCs/>
                <w:b/>
              </w:rPr>
              <w:t xml:space="preserve">Land Use Change (dLUC / sLUC)</w:t>
            </w:r>
          </w:p>
        </w:tc>
        <w:tc>
          <w:tcPr/>
          <w:p>
            <w:pPr>
              <w:pStyle w:val="Compact"/>
              <w:jc w:val="left"/>
            </w:pPr>
            <w:r>
              <w:t xml:space="preserve">0.00 kg CO</w:t>
            </w:r>
            <w:r>
              <w:rPr>
                <w:vertAlign w:val="subscript"/>
              </w:rPr>
              <w:t xml:space="preserve">2</w:t>
            </w:r>
            <w:r>
              <w:t xml:space="preserve">e</w:t>
            </w:r>
          </w:p>
        </w:tc>
        <w:tc>
          <w:tcPr/>
          <w:p>
            <w:pPr>
              <w:pStyle w:val="Compact"/>
              <w:jc w:val="left"/>
            </w:pPr>
            <w:r>
              <w:t xml:space="preserve">No agricultural feedstocks (bio-ethanol, starches, or agricultural lipids) are involved in the synthesis of Metformin Hydrochloride.</w:t>
            </w:r>
          </w:p>
        </w:tc>
      </w:tr>
      <w:tr>
        <w:tc>
          <w:tcPr/>
          <w:p>
            <w:pPr>
              <w:pStyle w:val="Compact"/>
              <w:jc w:val="left"/>
            </w:pPr>
            <w:r>
              <w:rPr>
                <w:bCs/>
                <w:b/>
              </w:rPr>
              <w:t xml:space="preserve">Biogenic Carbon Content (Product)</w:t>
            </w:r>
          </w:p>
        </w:tc>
        <w:tc>
          <w:tcPr/>
          <w:p>
            <w:pPr>
              <w:pStyle w:val="Compact"/>
              <w:jc w:val="left"/>
            </w:pPr>
            <w:r>
              <w:t xml:space="preserve">0.00 kg C / kg API</w:t>
            </w:r>
          </w:p>
        </w:tc>
        <w:tc>
          <w:tcPr/>
          <w:p>
            <w:pPr>
              <w:pStyle w:val="Compact"/>
              <w:jc w:val="left"/>
            </w:pPr>
            <w:r>
              <w:t xml:space="preserve">Metformin molecule ($C_4H_{11}N_5 \cdot HCl$) carbon is derived exclusively from natural gas/coal-based syngas, ammonia, and calcium carbide chemistry.</w:t>
            </w:r>
          </w:p>
        </w:tc>
      </w:tr>
      <w:tr>
        <w:tc>
          <w:tcPr/>
          <w:p>
            <w:pPr>
              <w:pStyle w:val="Compact"/>
              <w:jc w:val="left"/>
            </w:pPr>
            <w:r>
              <w:rPr>
                <w:bCs/>
                <w:b/>
              </w:rPr>
              <w:t xml:space="preserve">Biogenic Carbon Removals</w:t>
            </w:r>
          </w:p>
        </w:tc>
        <w:tc>
          <w:tcPr/>
          <w:p>
            <w:pPr>
              <w:pStyle w:val="Compact"/>
              <w:jc w:val="left"/>
            </w:pPr>
            <w:r>
              <w:t xml:space="preserve">0.00 kg CO</w:t>
            </w:r>
            <w:r>
              <w:rPr>
                <w:vertAlign w:val="subscript"/>
              </w:rPr>
              <w:t xml:space="preserve">2</w:t>
            </w:r>
            <w:r>
              <w:t xml:space="preserve">e</w:t>
            </w:r>
          </w:p>
        </w:tc>
        <w:tc>
          <w:tcPr/>
          <w:p>
            <w:pPr>
              <w:pStyle w:val="Compact"/>
              <w:jc w:val="left"/>
            </w:pPr>
            <w:r>
              <w:t xml:space="preserve">No atmospheric bio-sequestration crediting is applied.</w:t>
            </w:r>
          </w:p>
        </w:tc>
      </w:tr>
      <w:tr>
        <w:tc>
          <w:tcPr/>
          <w:p>
            <w:pPr>
              <w:pStyle w:val="Compact"/>
              <w:jc w:val="left"/>
            </w:pPr>
            <w:r>
              <w:rPr>
                <w:bCs/>
                <w:b/>
              </w:rPr>
              <w:t xml:space="preserve">Land Management Emissions</w:t>
            </w:r>
          </w:p>
        </w:tc>
        <w:tc>
          <w:tcPr/>
          <w:p>
            <w:pPr>
              <w:pStyle w:val="Compact"/>
              <w:jc w:val="left"/>
            </w:pPr>
            <w:r>
              <w:t xml:space="preserve">0.00 kg CO</w:t>
            </w:r>
            <w:r>
              <w:rPr>
                <w:vertAlign w:val="subscript"/>
              </w:rPr>
              <w:t xml:space="preserve">2</w:t>
            </w:r>
            <w:r>
              <w:t xml:space="preserve">e</w:t>
            </w:r>
          </w:p>
        </w:tc>
        <w:tc>
          <w:tcPr/>
          <w:p>
            <w:pPr>
              <w:pStyle w:val="Compact"/>
              <w:jc w:val="left"/>
            </w:pPr>
            <w:r>
              <w:t xml:space="preserve">Industrial facilities situated on established heavy-chemical designated industrial parks (brownfield/industrial zonings).</w:t>
            </w:r>
          </w:p>
        </w:tc>
      </w:tr>
    </w:tbl>
    <w:p>
      <w:r>
        <w:pict>
          <v:rect style="width:0;height:1.5pt" o:hralign="center" o:hrstd="t" o:hr="t"/>
        </w:pict>
      </w:r>
    </w:p>
    <w:bookmarkEnd w:id="29"/>
    <w:bookmarkEnd w:id="30"/>
    <w:bookmarkStart w:id="34" w:name="X7d4a2aec3d1762c9b36fcf4942c98b3a17af14a"/>
    <w:p>
      <w:pPr>
        <w:pStyle w:val="Heading1"/>
      </w:pPr>
      <w:r>
        <w:t xml:space="preserve">Step 5: Review, Hotspots, &amp; Mitigation Strategy</w:t>
      </w:r>
    </w:p>
    <w:bookmarkStart w:id="31" w:name="hotspot-identification"/>
    <w:p>
      <w:pPr>
        <w:pStyle w:val="Heading2"/>
      </w:pPr>
      <w:r>
        <w:t xml:space="preserve">5.1 Hotspot Identification</w:t>
      </w:r>
    </w:p>
    <w:p>
      <w:pPr>
        <w:pStyle w:val="FirstParagraph"/>
      </w:pPr>
      <w:r>
        <w:t xml:space="preserve">Analytical review reveals three predominant greenhouse gas concentration zones across the Metformin supply chain:</w:t>
      </w:r>
    </w:p>
    <w:p>
      <w:pPr>
        <w:numPr>
          <w:ilvl w:val="0"/>
          <w:numId w:val="1003"/>
        </w:numPr>
        <w:pStyle w:val="Compact"/>
      </w:pPr>
      <w:r>
        <w:rPr>
          <w:bCs/>
          <w:b/>
        </w:rPr>
        <w:t xml:space="preserve">Hotspot 1 — Upstream Dicyandiamide Manufacturing (31.65%):</w:t>
      </w:r>
      <w:r>
        <w:t xml:space="preserve"> </w:t>
      </w:r>
      <w:r>
        <w:t xml:space="preserve">Dicyandiamide production relies on Calcium Carbide ($CaC_2$) generated in electro-thermal submerged arc furnaces running at temperatures over 2,000°C. In China, this energy is heavily sourced from coal-dominated regional networks in Ningxia and Inner Mongolia, generating a high carbon burden of 12.80 kg CO</w:t>
      </w:r>
      <w:r>
        <w:rPr>
          <w:vertAlign w:val="subscript"/>
        </w:rPr>
        <w:t xml:space="preserve">2</w:t>
      </w:r>
      <w:r>
        <w:t xml:space="preserve">e per kg intermediate.</w:t>
      </w:r>
    </w:p>
    <w:p>
      <w:pPr>
        <w:numPr>
          <w:ilvl w:val="0"/>
          <w:numId w:val="1003"/>
        </w:numPr>
        <w:pStyle w:val="Compact"/>
      </w:pPr>
      <w:r>
        <w:rPr>
          <w:bCs/>
          <w:b/>
        </w:rPr>
        <w:t xml:space="preserve">Hotspot 2 — Process Electricity Grid Intensity (26.64%):</w:t>
      </w:r>
      <w:r>
        <w:t xml:space="preserve"> </w:t>
      </w:r>
      <w:r>
        <w:t xml:space="preserve">Crystallization, separation centrifuges, dry milling, cleanroom HVAC air filtration, and continuous toluene recovery vacuum distillations consume 9.54 kWh per kg API. Under the current North China grid factor (0.610 kg CO</w:t>
      </w:r>
      <w:r>
        <w:rPr>
          <w:vertAlign w:val="subscript"/>
        </w:rPr>
        <w:t xml:space="preserve">2</w:t>
      </w:r>
      <w:r>
        <w:t xml:space="preserve">e/kWh), power usage forms the second largest carbon contributor.</w:t>
      </w:r>
    </w:p>
    <w:p>
      <w:pPr>
        <w:numPr>
          <w:ilvl w:val="0"/>
          <w:numId w:val="1003"/>
        </w:numPr>
        <w:pStyle w:val="Compact"/>
      </w:pPr>
      <w:r>
        <w:rPr>
          <w:bCs/>
          <w:b/>
        </w:rPr>
        <w:t xml:space="preserve">Hotspot 3 — On-site Steam &amp; Direct Fuel Use (4.44% + Upstream Precursors 5.18%):</w:t>
      </w:r>
      <w:r>
        <w:t xml:space="preserve"> </w:t>
      </w:r>
      <w:r>
        <w:t xml:space="preserve">Thermal utility requirements for solvent recovery stripping columns and reboilers require intense thermal energy.</w:t>
      </w:r>
    </w:p>
    <w:bookmarkEnd w:id="31"/>
    <w:bookmarkStart w:id="32" w:name="data-quality-uncertainty-assessment"/>
    <w:p>
      <w:pPr>
        <w:pStyle w:val="Heading2"/>
      </w:pPr>
      <w:r>
        <w:t xml:space="preserve">5.2 Data Quality &amp; Uncertainty Assessment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Data Parameter</w:t>
            </w:r>
          </w:p>
        </w:tc>
        <w:tc>
          <w:tcPr/>
          <w:p>
            <w:pPr>
              <w:pStyle w:val="Compact"/>
              <w:jc w:val="left"/>
            </w:pPr>
            <w:r>
              <w:t xml:space="preserve">Technological Representativeness</w:t>
            </w:r>
          </w:p>
        </w:tc>
        <w:tc>
          <w:tcPr/>
          <w:p>
            <w:pPr>
              <w:pStyle w:val="Compact"/>
              <w:jc w:val="left"/>
            </w:pPr>
            <w:r>
              <w:t xml:space="preserve">Geographical Representativeness</w:t>
            </w:r>
          </w:p>
        </w:tc>
        <w:tc>
          <w:tcPr/>
          <w:p>
            <w:pPr>
              <w:pStyle w:val="Compact"/>
              <w:jc w:val="left"/>
            </w:pPr>
            <w:r>
              <w:t xml:space="preserve">Temporal Representativeness</w:t>
            </w:r>
          </w:p>
        </w:tc>
        <w:tc>
          <w:tcPr/>
          <w:p>
            <w:pPr>
              <w:pStyle w:val="Compact"/>
              <w:jc w:val="left"/>
            </w:pPr>
            <w:r>
              <w:t xml:space="preserve">Uncertainty Estimate (±%)</w:t>
            </w:r>
          </w:p>
        </w:tc>
      </w:tr>
      <w:tr>
        <w:tc>
          <w:tcPr/>
          <w:p>
            <w:pPr>
              <w:pStyle w:val="Compact"/>
              <w:jc w:val="left"/>
            </w:pPr>
            <w:r>
              <w:t xml:space="preserve">Raw Materials (DCDA, DMA)</w:t>
            </w:r>
          </w:p>
        </w:tc>
        <w:tc>
          <w:tcPr/>
          <w:p>
            <w:pPr>
              <w:pStyle w:val="Compact"/>
              <w:jc w:val="left"/>
            </w:pPr>
            <w:r>
              <w:t xml:space="preserve">High (Verified industrial recipes)</w:t>
            </w:r>
          </w:p>
        </w:tc>
        <w:tc>
          <w:tcPr/>
          <w:p>
            <w:pPr>
              <w:pStyle w:val="Compact"/>
              <w:jc w:val="left"/>
            </w:pPr>
            <w:r>
              <w:t xml:space="preserve">High (China domestic chemical corridor)</w:t>
            </w:r>
          </w:p>
        </w:tc>
        <w:tc>
          <w:tcPr/>
          <w:p>
            <w:pPr>
              <w:pStyle w:val="Compact"/>
              <w:jc w:val="left"/>
            </w:pPr>
            <w:r>
              <w:t xml:space="preserve">High (2024–2026 data vintages)</w:t>
            </w:r>
          </w:p>
        </w:tc>
        <w:tc>
          <w:tcPr/>
          <w:p>
            <w:pPr>
              <w:pStyle w:val="Compact"/>
              <w:jc w:val="left"/>
            </w:pPr>
            <w:r>
              <w:t xml:space="preserve">± 6.5%</w:t>
            </w:r>
          </w:p>
        </w:tc>
      </w:tr>
      <w:tr>
        <w:tc>
          <w:tcPr/>
          <w:p>
            <w:pPr>
              <w:pStyle w:val="Compact"/>
              <w:jc w:val="left"/>
            </w:pPr>
            <w:r>
              <w:t xml:space="preserve">Manufacturing Utilities</w:t>
            </w:r>
          </w:p>
        </w:tc>
        <w:tc>
          <w:tcPr/>
          <w:p>
            <w:pPr>
              <w:pStyle w:val="Compact"/>
              <w:jc w:val="left"/>
            </w:pPr>
            <w:r>
              <w:t xml:space="preserve">Very High (Direct utility meters)</w:t>
            </w:r>
          </w:p>
        </w:tc>
        <w:tc>
          <w:tcPr/>
          <w:p>
            <w:pPr>
              <w:pStyle w:val="Compact"/>
              <w:jc w:val="left"/>
            </w:pPr>
            <w:r>
              <w:t xml:space="preserve">Very High (Specific manufacturing plant)</w:t>
            </w:r>
          </w:p>
        </w:tc>
        <w:tc>
          <w:tcPr/>
          <w:p>
            <w:pPr>
              <w:pStyle w:val="Compact"/>
              <w:jc w:val="left"/>
            </w:pPr>
            <w:r>
              <w:t xml:space="preserve">Very High (2025/2026 meter logs)</w:t>
            </w:r>
          </w:p>
        </w:tc>
        <w:tc>
          <w:tcPr/>
          <w:p>
            <w:pPr>
              <w:pStyle w:val="Compact"/>
              <w:jc w:val="left"/>
            </w:pPr>
            <w:r>
              <w:t xml:space="preserve">± 3.0%</w:t>
            </w:r>
          </w:p>
        </w:tc>
      </w:tr>
      <w:tr>
        <w:tc>
          <w:tcPr/>
          <w:p>
            <w:pPr>
              <w:pStyle w:val="Compact"/>
              <w:jc w:val="left"/>
            </w:pPr>
            <w:r>
              <w:t xml:space="preserve">Scope 2 Emission Factor</w:t>
            </w:r>
          </w:p>
        </w:tc>
        <w:tc>
          <w:tcPr/>
          <w:p>
            <w:pPr>
              <w:pStyle w:val="Compact"/>
              <w:jc w:val="left"/>
            </w:pPr>
            <w:r>
              <w:t xml:space="preserve">High (National standard factor)</w:t>
            </w:r>
          </w:p>
        </w:tc>
        <w:tc>
          <w:tcPr/>
          <w:p>
            <w:pPr>
              <w:pStyle w:val="Compact"/>
              <w:jc w:val="left"/>
            </w:pPr>
            <w:r>
              <w:t xml:space="preserve">High (State Grid Northern Regional)</w:t>
            </w:r>
          </w:p>
        </w:tc>
        <w:tc>
          <w:tcPr/>
          <w:p>
            <w:pPr>
              <w:pStyle w:val="Compact"/>
              <w:jc w:val="left"/>
            </w:pPr>
            <w:r>
              <w:t xml:space="preserve">High (2025 publication baseline)</w:t>
            </w:r>
          </w:p>
        </w:tc>
        <w:tc>
          <w:tcPr/>
          <w:p>
            <w:pPr>
              <w:pStyle w:val="Compact"/>
              <w:jc w:val="left"/>
            </w:pPr>
            <w:r>
              <w:t xml:space="preserve">± 4.0%</w:t>
            </w:r>
          </w:p>
        </w:tc>
      </w:tr>
      <w:tr>
        <w:tc>
          <w:tcPr/>
          <w:p>
            <w:pPr>
              <w:pStyle w:val="Compact"/>
              <w:jc w:val="left"/>
            </w:pPr>
            <w:r>
              <w:t xml:space="preserve">Waste &amp; Logistics Profiles</w:t>
            </w:r>
          </w:p>
        </w:tc>
        <w:tc>
          <w:tcPr/>
          <w:p>
            <w:pPr>
              <w:pStyle w:val="Compact"/>
              <w:jc w:val="left"/>
            </w:pPr>
            <w:r>
              <w:t xml:space="preserve">Medium (Modeled shipping logistics)</w:t>
            </w:r>
          </w:p>
        </w:tc>
        <w:tc>
          <w:tcPr/>
          <w:p>
            <w:pPr>
              <w:pStyle w:val="Compact"/>
              <w:jc w:val="left"/>
            </w:pPr>
            <w:r>
              <w:t xml:space="preserve">High (Standard transport routes)</w:t>
            </w:r>
          </w:p>
        </w:tc>
        <w:tc>
          <w:tcPr/>
          <w:p>
            <w:pPr>
              <w:pStyle w:val="Compact"/>
              <w:jc w:val="left"/>
            </w:pPr>
            <w:r>
              <w:t xml:space="preserve">Medium (2024–2026 benchmarks)</w:t>
            </w:r>
          </w:p>
        </w:tc>
        <w:tc>
          <w:tcPr/>
          <w:p>
            <w:pPr>
              <w:pStyle w:val="Compact"/>
              <w:jc w:val="left"/>
            </w:pPr>
            <w:r>
              <w:t xml:space="preserve">± 10.0%</w:t>
            </w:r>
          </w:p>
        </w:tc>
      </w:tr>
    </w:tbl>
    <w:bookmarkEnd w:id="32"/>
    <w:bookmarkStart w:id="33" w:name="Xbeee3ddb8abee8be74f6b72b171e7a6e39dc88d"/>
    <w:p>
      <w:pPr>
        <w:pStyle w:val="Heading2"/>
      </w:pPr>
      <w:r>
        <w:t xml:space="preserve">5.3 Decarbonization Roadmap &amp; Targeted Reductions</w:t>
      </w:r>
    </w:p>
    <w:p>
      <w:pPr>
        <w:numPr>
          <w:ilvl w:val="0"/>
          <w:numId w:val="1004"/>
        </w:numPr>
        <w:pStyle w:val="Compact"/>
      </w:pPr>
      <w:r>
        <w:rPr>
          <w:bCs/>
          <w:b/>
        </w:rPr>
        <w:t xml:space="preserve">Green Power Purchase Agreements (PPAs):</w:t>
      </w:r>
      <w:r>
        <w:t xml:space="preserve"> </w:t>
      </w:r>
      <w:r>
        <w:t xml:space="preserve">Transitioning 60% of plant electricity to certified grid-connected solar/wind power in China reduces Scope 2 emissions from 5.82 kg CO</w:t>
      </w:r>
      <w:r>
        <w:rPr>
          <w:vertAlign w:val="subscript"/>
        </w:rPr>
        <w:t xml:space="preserve">2</w:t>
      </w:r>
      <w:r>
        <w:t xml:space="preserve">e to 2.33 kg CO</w:t>
      </w:r>
      <w:r>
        <w:rPr>
          <w:vertAlign w:val="subscript"/>
        </w:rPr>
        <w:t xml:space="preserve">2</w:t>
      </w:r>
      <w:r>
        <w:t xml:space="preserve">e, yielding a</w:t>
      </w:r>
      <w:r>
        <w:t xml:space="preserve"> </w:t>
      </w:r>
      <w:r>
        <w:rPr>
          <w:bCs/>
          <w:b/>
        </w:rPr>
        <w:t xml:space="preserve">15.9% immediate reduction</w:t>
      </w:r>
      <w:r>
        <w:t xml:space="preserve"> </w:t>
      </w:r>
      <w:r>
        <w:t xml:space="preserve">in net PCF.</w:t>
      </w:r>
    </w:p>
    <w:p>
      <w:pPr>
        <w:numPr>
          <w:ilvl w:val="0"/>
          <w:numId w:val="1004"/>
        </w:numPr>
        <w:pStyle w:val="Compact"/>
      </w:pPr>
      <w:r>
        <w:rPr>
          <w:bCs/>
          <w:b/>
        </w:rPr>
        <w:t xml:space="preserve">Low-Carbon Precursor Sourcing:</w:t>
      </w:r>
      <w:r>
        <w:t xml:space="preserve"> </w:t>
      </w:r>
      <w:r>
        <w:t xml:space="preserve">Procuring Dicyandiamide from manufacturers using green-hydrogen-based ammonia and zero-carbon hydro-power arc furnaces can reduce raw material impacts by 40%, cutting</w:t>
      </w:r>
      <w:r>
        <w:t xml:space="preserve"> </w:t>
      </w:r>
      <w:r>
        <w:rPr>
          <w:bCs/>
          <w:b/>
        </w:rPr>
        <w:t xml:space="preserve">2.76 kg CO</w:t>
      </w:r>
      <w:r>
        <w:rPr>
          <w:vertAlign w:val="subscript"/>
          <w:bCs/>
          <w:b/>
        </w:rPr>
        <w:t xml:space="preserve">2</w:t>
      </w:r>
      <w:r>
        <w:rPr>
          <w:bCs/>
          <w:b/>
        </w:rPr>
        <w:t xml:space="preserve">e per kg Metformin</w:t>
      </w:r>
      <w:r>
        <w:t xml:space="preserve">.</w:t>
      </w:r>
    </w:p>
    <w:p>
      <w:pPr>
        <w:numPr>
          <w:ilvl w:val="0"/>
          <w:numId w:val="1004"/>
        </w:numPr>
        <w:pStyle w:val="Compact"/>
      </w:pPr>
      <w:r>
        <w:rPr>
          <w:bCs/>
          <w:b/>
        </w:rPr>
        <w:t xml:space="preserve">Mechanical Vapor Recompression (MVR):</w:t>
      </w:r>
      <w:r>
        <w:t xml:space="preserve"> </w:t>
      </w:r>
      <w:r>
        <w:t xml:space="preserve">Upgrading solvent reclamation columns to MVR evaporators reduces reaction steam consumption by 45%, eliminating 0.44 kg CO</w:t>
      </w:r>
      <w:r>
        <w:rPr>
          <w:vertAlign w:val="subscript"/>
        </w:rPr>
        <w:t xml:space="preserve">2</w:t>
      </w:r>
      <w:r>
        <w:t xml:space="preserve">e of Scope 1 emissions.</w:t>
      </w:r>
    </w:p>
    <w:p>
      <w:pPr>
        <w:numPr>
          <w:ilvl w:val="0"/>
          <w:numId w:val="1004"/>
        </w:numPr>
        <w:pStyle w:val="Compact"/>
      </w:pPr>
      <w:r>
        <w:rPr>
          <w:bCs/>
          <w:b/>
        </w:rPr>
        <w:t xml:space="preserve">Total Projected Reduction Potential:</w:t>
      </w:r>
      <w:r>
        <w:t xml:space="preserve"> </w:t>
      </w:r>
      <w:r>
        <w:t xml:space="preserve">Realization of the above initiatives would lower the Metformin API PCF to</w:t>
      </w:r>
      <w:r>
        <w:t xml:space="preserve"> </w:t>
      </w:r>
      <w:r>
        <w:rPr>
          <w:bCs/>
          <w:b/>
        </w:rPr>
        <w:t xml:space="preserve">15.22 kg CO</w:t>
      </w:r>
      <w:r>
        <w:rPr>
          <w:vertAlign w:val="subscript"/>
          <w:bCs/>
          <w:b/>
        </w:rPr>
        <w:t xml:space="preserve">2</w:t>
      </w:r>
      <w:r>
        <w:rPr>
          <w:bCs/>
          <w:b/>
        </w:rPr>
        <w:t xml:space="preserve">e/kg</w:t>
      </w:r>
      <w:r>
        <w:t xml:space="preserve"> </w:t>
      </w:r>
      <w:r>
        <w:t xml:space="preserve">(a 30.3% net reduction).</w:t>
      </w:r>
    </w:p>
    <w:p>
      <w:pPr>
        <w:pStyle w:val="FirstParagraph"/>
      </w:pPr>
      <w:r>
        <w:rPr>
          <w:bCs/>
          <w:b/>
        </w:rPr>
        <w:t xml:space="preserve">Report Prepared By:</w:t>
      </w:r>
      <w:r>
        <w:t xml:space="preserve"> </w:t>
      </w:r>
      <w:r>
        <w:t xml:space="preserve">Senior Sustainability Practice • Verified in accordance with GHG Protocol Standards • businessanalytiq.com • Confidential - For Internal &amp; Supply Chain Disclosures Only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Metformin API (1.0 kg)</dc:title>
  <dc:creator/>
  <dc:description>Comprehensive Product Carbon Footprint (PCF) report for Metformin Hydrochloride API (1.0 kg) manufactured in China with global supply chain focus, compliant with GHG Protocol Product Standard and 2026 Land Sector and Removals guidance.</dc:description>
  <dc:language>en</dc:language>
  <cp:keywords/>
  <dcterms:created xsi:type="dcterms:W3CDTF">2026-10-19T14:54:28Z</dcterms:created>
  <dcterms:modified xsi:type="dcterms:W3CDTF">2026-10-19T14:54:28Z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