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mdmeuzioul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mdmeuzioul</w:t>
      </w:r>
    </w:p>
    <w:p>
      <w:pPr>
        <w:pStyle w:val="BodyText"/>
      </w:pPr>
      <w:r>
        <w:rPr>
          <w:bCs/>
          <w:b/>
        </w:rPr>
        <w:t xml:space="preserve">Company Name:</w:t>
      </w:r>
      <w:r>
        <w:t xml:space="preserve"> </w:t>
      </w:r>
      <w:r>
        <w:t xml:space="preserve">fjnrfunsjd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isxedlvyts</w:t>
      </w:r>
    </w:p>
    <w:p>
      <w:pPr>
        <w:pStyle w:val="BodyText"/>
      </w:pPr>
      <w:r>
        <w:rPr>
          <w:iCs/>
          <w:i/>
        </w:rPr>
        <w:t xml:space="preserve">Disclaimer: This report is generated based on available data and industry standards. All numerical calculations presented are illustrative, utilizing assumed values for the specified parameters due to the placeholder nature of the input data. Actual, precise calculations would require primary, real-world data.</w:t>
      </w:r>
    </w:p>
    <w:bookmarkEnd w:id="20"/>
    <w:bookmarkStart w:id="45" w:name="X7a6c2b3d042576f6856a2fb1adea6c581ea22ac"/>
    <w:p>
      <w:pPr>
        <w:pStyle w:val="Heading1"/>
      </w:pPr>
      <w:r>
        <w:t xml:space="preserve">Product Carbon Footprint Analysis for mdmeuzioul</w:t>
      </w:r>
    </w:p>
    <w:p>
      <w:pPr>
        <w:pStyle w:val="FirstParagraph"/>
      </w:pPr>
      <w:r>
        <w:t xml:space="preserve">Generated Date: May 26,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mdmeuzioul, manufactured by fjnrfunsjd, in accordance with the Greenhouse Gas (GHG) Protocol. The analysis covers the entire product lifecycle from raw material acquisition through manufacturing, transport, use, and end-of-life, defining a comprehensive "cradle-to-grave" scope despite the "factory_gate" system boundary for core production emissions. The study aims to quantify the total greenhouse gas emissions (expressed in kgCO2e) associated with one functional unit of mdmeuzioul, identify emission hotspots, and provide recommendations for reduction. Due to the placeholder nature of the provided input parameters, all specific numerical data and calculations within this report are illustrative and based on assumed, yet realistic, values and industry-standard emission factors.</w:t>
      </w:r>
    </w:p>
    <w:p>
      <w:r>
        <w:pict>
          <v:rect style="width:0;height:1.5pt" o:hralign="center" o:hrstd="t" o:hr="t"/>
        </w:pict>
      </w:r>
    </w:p>
    <w:bookmarkEnd w:id="21"/>
    <w:bookmarkStart w:id="24" w:name="methodology-and-scope-definition"/>
    <w:p>
      <w:pPr>
        <w:pStyle w:val="Heading2"/>
      </w:pPr>
      <w:r>
        <w:t xml:space="preserve">2. Methodology and Scope Definition</w:t>
      </w:r>
    </w:p>
    <w:p>
      <w:pPr>
        <w:pStyle w:val="FirstParagraph"/>
      </w:pPr>
      <w:r>
        <w:t xml:space="preserve">The Product Carbon Footprint (PCF) analysis follows a structured Life Cycle Assessment (LCA) approach, focusing specifically on climate change impacts. The methodology is in full compliance with the GHG Protocol standards.</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mdmeuzioul. This is the reference unit to which all inputs and outputs of the life cycle are normalized.</w:t>
      </w:r>
    </w:p>
    <w:p>
      <w:pPr>
        <w:numPr>
          <w:ilvl w:val="0"/>
          <w:numId w:val="1001"/>
        </w:numPr>
        <w:pStyle w:val="Compact"/>
      </w:pPr>
      <w:r>
        <w:rPr>
          <w:bCs/>
          <w:b/>
        </w:rPr>
        <w:t xml:space="preserve">System Boundary:</w:t>
      </w:r>
      <w:r>
        <w:t xml:space="preserve"> </w:t>
      </w:r>
      <w:r>
        <w:t xml:space="preserve">While the primary production emissions are calculated up to the "factory_gate" (emissions until the product leaves the manufacturing facility), this PCF analysis extends to a "cradle-to-grave" perspective to encompass the full lifecycle as implied by the detailed parameters for use-phase and end-of-life. This means emissions from raw material extraction, manufacturing, transportation, consumer use, and end-of-life disposal/recycling are included.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(primarily for upstream material sourcing and downstream distribution/use).</w:t>
      </w:r>
    </w:p>
    <w:p>
      <w:pPr>
        <w:numPr>
          <w:ilvl w:val="0"/>
          <w:numId w:val="1001"/>
        </w:numPr>
        <w:pStyle w:val="Compact"/>
      </w:pPr>
      <w:r>
        <w:rPr>
          <w:bCs/>
          <w:b/>
        </w:rPr>
        <w:t xml:space="preserve">Accounting Standard:</w:t>
      </w:r>
      <w:r>
        <w:t xml:space="preserve"> </w:t>
      </w:r>
      <w:r>
        <w:t xml:space="preserve">The analysis strictly adheres to the GHG Protocol.</w:t>
      </w:r>
    </w:p>
    <w:p>
      <w:pPr>
        <w:numPr>
          <w:ilvl w:val="0"/>
          <w:numId w:val="1001"/>
        </w:numPr>
        <w:pStyle w:val="Compact"/>
      </w:pPr>
      <w:r>
        <w:rPr>
          <w:bCs/>
          <w:b/>
        </w:rPr>
        <w:t xml:space="preserve">Allocation:</w:t>
      </w:r>
      <w:r>
        <w:t xml:space="preserve"> </w:t>
      </w:r>
      <w:r>
        <w:t xml:space="preserve">Where co-production or recycling is involved, standard allocation methodologies based on mass or economic value would be applied. For this illustrative report, direct emission factors already reflecting typical allocation are used.</w:t>
      </w:r>
    </w:p>
    <w:bookmarkEnd w:id="22"/>
    <w:bookmarkStart w:id="23" w:name="adherence-to-ghg-protocol-standards"/>
    <w:p>
      <w:pPr>
        <w:pStyle w:val="Heading3"/>
      </w:pPr>
      <w:r>
        <w:t xml:space="preserve">2.2. Adherence to GHG Protocol Standards</w:t>
      </w:r>
    </w:p>
    <w:p>
      <w:pPr>
        <w:pStyle w:val="FirstParagraph"/>
      </w:pPr>
      <w:r>
        <w:t xml:space="preserve">This analysis aligns with the GHG Protocol, which categorizes greenhouse gas emissions into three scopes to provide a comprehensive view of a company\'s carbon footprint across its value chain.</w:t>
      </w:r>
    </w:p>
    <w:p>
      <w:pPr>
        <w:numPr>
          <w:ilvl w:val="0"/>
          <w:numId w:val="1003"/>
        </w:numPr>
        <w:pStyle w:val="Compact"/>
      </w:pPr>
      <w:r>
        <w:rPr>
          <w:bCs/>
          <w:b/>
        </w:rPr>
        <w:t xml:space="preserve">Scope 1 Emissions (Direct Emissions):</w:t>
      </w:r>
      <w:r>
        <w:t xml:space="preserve"> </w:t>
      </w:r>
      <w:r>
        <w:t xml:space="preserve">GHG emissions from sources owned or controlled by fjnrfunsjd (e.g., fuel combustion in owned vehicles or on-site manufacturing processes). For a product-specific PCF with a "factory_gate" emphasis, this typically covers direct process emissions within the manufacturing facility not related to purchased energy.</w:t>
      </w:r>
    </w:p>
    <w:p>
      <w:pPr>
        <w:numPr>
          <w:ilvl w:val="0"/>
          <w:numId w:val="1003"/>
        </w:numPr>
        <w:pStyle w:val="Compact"/>
      </w:pPr>
      <w:r>
        <w:rPr>
          <w:bCs/>
          <w:b/>
        </w:rPr>
        <w:t xml:space="preserve">Scope 2 Emissions (Purchased Energy):</w:t>
      </w:r>
      <w:r>
        <w:t xml:space="preserve"> </w:t>
      </w:r>
      <w:r>
        <w:t xml:space="preserve">Indirect GHG emissions from the generation of purchased or acquired electricity, steam, heating, or cooling consumed by fjnrfunsjd\'s operations for manufacturing mdmeuzioul.</w:t>
      </w:r>
    </w:p>
    <w:p>
      <w:pPr>
        <w:numPr>
          <w:ilvl w:val="0"/>
          <w:numId w:val="1003"/>
        </w:numPr>
        <w:pStyle w:val="Compact"/>
      </w:pPr>
      <w:r>
        <w:rPr>
          <w:bCs/>
          <w:b/>
        </w:rPr>
        <w:t xml:space="preserve">Scope 3 Emissions (Value Chain Emissions):</w:t>
      </w:r>
      <w:r>
        <w:t xml:space="preserve"> </w:t>
      </w:r>
      <w:r>
        <w:t xml:space="preserve">All other indirect emissions occurring in the value chain, both upstream and downstream, not included in Scope 1 or Scope 2. For many companies, Scope 3 accounts for 70-90% of the total carbon footprint, making it critical for net-zero strategies. Key categories relevant to this PCF include:</w:t>
      </w:r>
    </w:p>
    <w:p>
      <w:pPr>
        <w:numPr>
          <w:ilvl w:val="1"/>
          <w:numId w:val="1004"/>
        </w:numPr>
        <w:pStyle w:val="Compact"/>
      </w:pPr>
      <w:r>
        <w:t xml:space="preserve">Category 1: Purchased Goods and Services (Raw materials).</w:t>
      </w:r>
    </w:p>
    <w:p>
      <w:pPr>
        <w:numPr>
          <w:ilvl w:val="1"/>
          <w:numId w:val="1004"/>
        </w:numPr>
        <w:pStyle w:val="Compact"/>
      </w:pPr>
      <w:r>
        <w:t xml:space="preserve">Category 4: Upstream Transportation and Distribution (Logistics to factory).</w:t>
      </w:r>
    </w:p>
    <w:p>
      <w:pPr>
        <w:numPr>
          <w:ilvl w:val="1"/>
          <w:numId w:val="1004"/>
        </w:numPr>
        <w:pStyle w:val="Compact"/>
      </w:pPr>
      <w:r>
        <w:t xml:space="preserve">Category 9: Downstream Transportation and Distribution (Logistics from factory to end-user).</w:t>
      </w:r>
    </w:p>
    <w:p>
      <w:pPr>
        <w:numPr>
          <w:ilvl w:val="1"/>
          <w:numId w:val="1004"/>
        </w:numPr>
        <w:pStyle w:val="Compact"/>
      </w:pPr>
      <w:r>
        <w:t xml:space="preserve">Category 11: Use of Sold Products (Energy consumption during product lifespan).</w:t>
      </w:r>
    </w:p>
    <w:p>
      <w:pPr>
        <w:numPr>
          <w:ilvl w:val="1"/>
          <w:numId w:val="1004"/>
        </w:numPr>
        <w:pStyle w:val="Compact"/>
      </w:pPr>
      <w:r>
        <w:t xml:space="preserve">Category 12: End-of-Life Treatment of Sold Products (Disposal, recycling, reuse).</w:t>
      </w:r>
    </w:p>
    <w:p>
      <w:pPr>
        <w:numPr>
          <w:ilvl w:val="0"/>
          <w:numId w:val="1003"/>
        </w:numPr>
        <w:pStyle w:val="Compact"/>
      </w:pPr>
      <w:r>
        <w:rPr>
          <w:bCs/>
          <w:b/>
        </w:rPr>
        <w:t xml:space="preserve">2026 LSR Update:</w:t>
      </w:r>
      <w:r>
        <w:t xml:space="preserve"> </w:t>
      </w:r>
      <w:r>
        <w:t xml:space="preserve">The Land Sector and Removals (LSR) Standard, released by the GHG Protocol on January 30, 2026, and effective January 1, 2027, provides specific accounting requirements and guidance for land-related emissions and carbon removals. While direct land-use change for mdmeuzioul\'s specific manufacturing is not detailed here, this standard would be applied for any relevant upstream agricultural raw materials or direct land management activities within fjnrfunsjd\'s operations or value chain. The accompanying guidance is expected in Q2 2026.</w:t>
      </w:r>
    </w:p>
    <w:p>
      <w:pPr>
        <w:numPr>
          <w:ilvl w:val="0"/>
          <w:numId w:val="1003"/>
        </w:numPr>
        <w:pStyle w:val="Compact"/>
      </w:pPr>
      <w:r>
        <w:rPr>
          <w:bCs/>
          <w:b/>
        </w:rPr>
        <w:t xml:space="preserve">Scope 3 Compliance:</w:t>
      </w:r>
      <w:r>
        <w:t xml:space="preserve"> </w:t>
      </w:r>
      <w:r>
        <w:t xml:space="preserve">As per 2026 requirements, this report ensures a strong focus on Scope 3, targeting at least 95% coverage of total required Scope 3 emissions. This reflects the GHG Protocol\'s proposed shift towards more rigorous and standardized approaches to value chain emissions, pushing for near-complete visibility and transparency.</w:t>
      </w:r>
    </w:p>
    <w:p>
      <w:r>
        <w:pict>
          <v:rect style="width:0;height:1.5pt" o:hralign="center" o:hrstd="t" o:hr="t"/>
        </w:pict>
      </w:r>
    </w:p>
    <w:bookmarkEnd w:id="23"/>
    <w:bookmarkEnd w:id="24"/>
    <w:bookmarkStart w:id="31" w:name="lifecycle-mapping-and-data-collection"/>
    <w:p>
      <w:pPr>
        <w:pStyle w:val="Heading2"/>
      </w:pPr>
      <w:r>
        <w:t xml:space="preserve">3. Lifecycle Mapping and Data Collection</w:t>
      </w:r>
    </w:p>
    <w:p>
      <w:pPr>
        <w:pStyle w:val="FirstParagraph"/>
      </w:pPr>
      <w:r>
        <w:t xml:space="preserve">This section details the key lifecycle stages of mdmeuzioul and the data points, both primary and secondary (illustrative), collected for the analysis.</w:t>
      </w:r>
    </w:p>
    <w:bookmarkStart w:id="25" w:name="life-cycle-inventory-lci-stages"/>
    <w:p>
      <w:pPr>
        <w:pStyle w:val="Heading3"/>
      </w:pPr>
      <w:r>
        <w:t xml:space="preserve">3.1. Life Cycle Inventory (LCI) Stages</w:t>
      </w:r>
    </w:p>
    <w:p>
      <w:pPr>
        <w:pStyle w:val="FirstParagraph"/>
      </w:pPr>
      <w:r>
        <w:t xml:space="preserve">The product lifecycle of mdmeuzioul is mapped through the following stages:</w:t>
      </w:r>
    </w:p>
    <w:p>
      <w:pPr>
        <w:numPr>
          <w:ilvl w:val="0"/>
          <w:numId w:val="1005"/>
        </w:numPr>
        <w:pStyle w:val="Compact"/>
      </w:pPr>
      <w:r>
        <w:rPr>
          <w:bCs/>
          <w:b/>
        </w:rPr>
        <w:t xml:space="preserve">Materials Acquisition &amp; Pre-processing:</w:t>
      </w:r>
      <w:r>
        <w:t xml:space="preserve"> </w:t>
      </w:r>
      <w:r>
        <w:t xml:space="preserve">Extraction, processing, and manufacturing of all raw materials (e.g., metals, plastics, electronic components, packaging) comprising the Detailed Bill of Materials (BOM).</w:t>
      </w:r>
    </w:p>
    <w:p>
      <w:pPr>
        <w:numPr>
          <w:ilvl w:val="0"/>
          <w:numId w:val="1005"/>
        </w:numPr>
        <w:pStyle w:val="Compact"/>
      </w:pPr>
      <w:r>
        <w:rPr>
          <w:bCs/>
          <w:b/>
        </w:rPr>
        <w:t xml:space="preserve">Manufacturing (Production Phase):</w:t>
      </w:r>
      <w:r>
        <w:t xml:space="preserve"> </w:t>
      </w:r>
      <w:r>
        <w:t xml:space="preserve">Energy consumption and process emissions at the factory in China for assembling and producing the final mdmeuzioul unit.</w:t>
      </w:r>
    </w:p>
    <w:p>
      <w:pPr>
        <w:numPr>
          <w:ilvl w:val="0"/>
          <w:numId w:val="1005"/>
        </w:numPr>
        <w:pStyle w:val="Compact"/>
      </w:pPr>
      <w:r>
        <w:rPr>
          <w:bCs/>
          <w:b/>
        </w:rPr>
        <w:t xml:space="preserve">Transportation &amp; Distribution:</w:t>
      </w:r>
      <w:r>
        <w:t xml:space="preserve"> </w:t>
      </w:r>
      <w:r>
        <w:t xml:space="preserve">Logistics from material suppliers to the manufacturing facility (upstream) and from the factory to the end-user in Europe (downstream), including last-mile delivery.</w:t>
      </w:r>
    </w:p>
    <w:p>
      <w:pPr>
        <w:numPr>
          <w:ilvl w:val="0"/>
          <w:numId w:val="1005"/>
        </w:numPr>
        <w:pStyle w:val="Compact"/>
      </w:pPr>
      <w:r>
        <w:rPr>
          <w:bCs/>
          <w:b/>
        </w:rPr>
        <w:t xml:space="preserve">Use Phase:</w:t>
      </w:r>
      <w:r>
        <w:t xml:space="preserve"> </w:t>
      </w:r>
      <w:r>
        <w:t xml:space="preserve">Energy consumption during the typical lifespan of mdmeuzioul by the end-user.</w:t>
      </w:r>
    </w:p>
    <w:p>
      <w:pPr>
        <w:numPr>
          <w:ilvl w:val="0"/>
          <w:numId w:val="1005"/>
        </w:numPr>
        <w:pStyle w:val="Compact"/>
      </w:pPr>
      <w:r>
        <w:rPr>
          <w:bCs/>
          <w:b/>
        </w:rPr>
        <w:t xml:space="preserve">End-of-Life (EoL):</w:t>
      </w:r>
      <w:r>
        <w:t xml:space="preserve"> </w:t>
      </w:r>
      <w:r>
        <w:t xml:space="preserve">Emissions or credits associated with the disposal, recycling, or recovery of mdmeuzioul at the end of its useful life.</w:t>
      </w:r>
    </w:p>
    <w:bookmarkEnd w:id="25"/>
    <w:bookmarkStart w:id="26" w:name="Xb813333c1a830e51c7baae9fad6a7a0766d8d06"/>
    <w:p>
      <w:pPr>
        <w:pStyle w:val="Heading3"/>
      </w:pPr>
      <w:r>
        <w:t xml:space="preserve">3.2. Detailed Bill of Materials (BOM) Data (Illustrative based on "jipsfywe")</w:t>
      </w:r>
    </w:p>
    <w:p>
      <w:pPr>
        <w:pStyle w:val="FirstParagraph"/>
      </w:pPr>
      <w:r>
        <w:t xml:space="preserve">For high-accuracy material impact calculation, the following illustrative Detailed Bill of Materials (BOM) data, structured as specified, is used instead of default estimates. Emission factors are derived from industry-standard databases like Ecoinvent, converted to kgCO2e/unit.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Die 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bCs/>
          <w:b/>
        </w:rPr>
        <w:t xml:space="preserve">Total Material Emissions (Illustrative):</w:t>
      </w:r>
      <w:r>
        <w:t xml:space="preserve"> </w:t>
      </w:r>
      <w:r>
        <w:t xml:space="preserve">5.30 kgCO2e</w:t>
      </w:r>
    </w:p>
    <w:bookmarkEnd w:id="26"/>
    <w:bookmarkStart w:id="27" w:name="Xbcb6495d609c40639174b0f7983134dc82d68c7"/>
    <w:p>
      <w:pPr>
        <w:pStyle w:val="Heading3"/>
      </w:pPr>
      <w:r>
        <w:t xml:space="preserve">3.3. Energy Inputs (Production Phase, Illustrative)</w:t>
      </w:r>
    </w:p>
    <w:p>
      <w:pPr>
        <w:pStyle w:val="FirstParagraph"/>
      </w:pPr>
      <w:r>
        <w:t xml:space="preserve">The energy customization data for the production phase footprint in China is incorporated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w:t>
            </w:r>
          </w:p>
        </w:tc>
      </w:tr>
      <w:tr>
        <w:tc>
          <w:tcPr/>
          <w:p>
            <w:pPr>
              <w:pStyle w:val="Compact"/>
              <w:jc w:val="left"/>
            </w:pPr>
            <w:r>
              <w:t xml:space="preserve">Energy Intensity (per unit of mdmeuzioul)</w:t>
            </w:r>
          </w:p>
        </w:tc>
        <w:tc>
          <w:tcPr/>
          <w:p>
            <w:pPr>
              <w:pStyle w:val="Compact"/>
              <w:jc w:val="left"/>
            </w:pPr>
            <w:r>
              <w:t xml:space="preserve">25</w:t>
            </w:r>
          </w:p>
        </w:tc>
        <w:tc>
          <w:tcPr/>
          <w:p>
            <w:pPr>
              <w:pStyle w:val="Compact"/>
              <w:jc w:val="left"/>
            </w:pPr>
            <w:r>
              <w:t xml:space="preserve">kWh/unit</w:t>
            </w:r>
          </w:p>
        </w:tc>
      </w:tr>
    </w:tbl>
    <w:bookmarkEnd w:id="27"/>
    <w:bookmarkStart w:id="28" w:name="logistics-data-illustrative"/>
    <w:p>
      <w:pPr>
        <w:pStyle w:val="Heading3"/>
      </w:pPr>
      <w:r>
        <w:t xml:space="preserve">3.4. Logistics Data (Illustrative)</w:t>
      </w:r>
    </w:p>
    <w:p>
      <w:pPr>
        <w:pStyle w:val="FirstParagraph"/>
      </w:pPr>
      <w:r>
        <w:t xml:space="preserve">Specific logistics data is incorporated into the supply chain analysis. Emission factors are typically sourced from databases like DEFRA.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Upstream Transport Mode</w:t>
            </w:r>
          </w:p>
        </w:tc>
        <w:tc>
          <w:tcPr/>
          <w:p>
            <w:pPr>
              <w:pStyle w:val="Compact"/>
              <w:jc w:val="left"/>
            </w:pPr>
            <w:r>
              <w:t xml:space="preserve">Road Freight (HGV, &gt;3.5-17t, average laden)</w:t>
            </w:r>
          </w:p>
        </w:tc>
        <w:tc>
          <w:tcPr/>
          <w:p>
            <w:pPr>
              <w:pStyle w:val="Compact"/>
              <w:jc w:val="left"/>
            </w:pPr>
            <w:r>
              <w:t xml:space="preserve">-</w:t>
            </w:r>
          </w:p>
        </w:tc>
      </w:tr>
      <w:tr>
        <w:tc>
          <w:tcPr/>
          <w:p>
            <w:pPr>
              <w:pStyle w:val="Compact"/>
              <w:jc w:val="left"/>
            </w:pPr>
            <w:r>
              <w:t xml:space="preserve">Upstream Transport Distance</w:t>
            </w:r>
          </w:p>
        </w:tc>
        <w:tc>
          <w:tcPr/>
          <w:p>
            <w:pPr>
              <w:pStyle w:val="Compact"/>
              <w:jc w:val="left"/>
            </w:pPr>
            <w:r>
              <w:t xml:space="preserve">1500</w:t>
            </w:r>
          </w:p>
        </w:tc>
        <w:tc>
          <w:tcPr/>
          <w:p>
            <w:pPr>
              <w:pStyle w:val="Compact"/>
              <w:jc w:val="left"/>
            </w:pPr>
            <w:r>
              <w:t xml:space="preserve">km</w:t>
            </w:r>
          </w:p>
        </w:tc>
      </w:tr>
      <w:tr>
        <w:tc>
          <w:tcPr/>
          <w:p>
            <w:pPr>
              <w:pStyle w:val="Compact"/>
              <w:jc w:val="left"/>
            </w:pPr>
            <w:r>
              <w:t xml:space="preserve">Downstream Last-Mile Delivery Channel</w:t>
            </w:r>
          </w:p>
        </w:tc>
        <w:tc>
          <w:tcPr/>
          <w:p>
            <w:pPr>
              <w:pStyle w:val="Compact"/>
              <w:jc w:val="left"/>
            </w:pPr>
            <w:r>
              <w:t xml:space="preserve">Van Delivery (Diesel van, &lt;3.5t)</w:t>
            </w:r>
          </w:p>
        </w:tc>
        <w:tc>
          <w:tcPr/>
          <w:p>
            <w:pPr>
              <w:pStyle w:val="Compact"/>
              <w:jc w:val="left"/>
            </w:pPr>
            <w:r>
              <w:t xml:space="preserve">-</w:t>
            </w:r>
          </w:p>
        </w:tc>
      </w:tr>
      <w:tr>
        <w:tc>
          <w:tcPr/>
          <w:p>
            <w:pPr>
              <w:pStyle w:val="Compact"/>
              <w:jc w:val="left"/>
            </w:pPr>
            <w:r>
              <w:t xml:space="preserve">Downstream Last-Mile Distance</w:t>
            </w:r>
          </w:p>
        </w:tc>
        <w:tc>
          <w:tcPr/>
          <w:p>
            <w:pPr>
              <w:pStyle w:val="Compact"/>
              <w:jc w:val="left"/>
            </w:pPr>
            <w:r>
              <w:t xml:space="preserve">50</w:t>
            </w:r>
          </w:p>
        </w:tc>
        <w:tc>
          <w:tcPr/>
          <w:p>
            <w:pPr>
              <w:pStyle w:val="Compact"/>
              <w:jc w:val="left"/>
            </w:pPr>
            <w:r>
              <w:t xml:space="preserve">km</w:t>
            </w:r>
          </w:p>
        </w:tc>
      </w:tr>
      <w:tr>
        <w:tc>
          <w:tcPr/>
          <w:p>
            <w:pPr>
              <w:pStyle w:val="Compact"/>
              <w:jc w:val="left"/>
            </w:pPr>
            <w:r>
              <w:t xml:space="preserve">Assumed Product Shipping Weight</w:t>
            </w:r>
          </w:p>
        </w:tc>
        <w:tc>
          <w:tcPr/>
          <w:p>
            <w:pPr>
              <w:pStyle w:val="Compact"/>
              <w:jc w:val="left"/>
            </w:pPr>
            <w:r>
              <w:t xml:space="preserve">1.0</w:t>
            </w:r>
          </w:p>
        </w:tc>
        <w:tc>
          <w:tcPr/>
          <w:p>
            <w:pPr>
              <w:pStyle w:val="Compact"/>
              <w:jc w:val="left"/>
            </w:pPr>
            <w:r>
              <w:t xml:space="preserve">kg</w:t>
            </w:r>
          </w:p>
        </w:tc>
      </w:tr>
    </w:tbl>
    <w:bookmarkEnd w:id="28"/>
    <w:bookmarkStart w:id="29" w:name="use-phase-data-illustrative"/>
    <w:p>
      <w:pPr>
        <w:pStyle w:val="Heading3"/>
      </w:pPr>
      <w:r>
        <w:t xml:space="preserve">3.5. Use Phase Data (Illustrative)</w:t>
      </w:r>
    </w:p>
    <w:p>
      <w:pPr>
        <w:pStyle w:val="FirstParagraph"/>
      </w:pPr>
      <w:r>
        <w:t xml:space="preserve">The \'Use Phase\' calculation uses specific durability and consumption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 (Annual)</w:t>
            </w:r>
          </w:p>
        </w:tc>
        <w:tc>
          <w:tcPr/>
          <w:p>
            <w:pPr>
              <w:pStyle w:val="Compact"/>
              <w:jc w:val="left"/>
            </w:pPr>
            <w:r>
              <w:t xml:space="preserve">50</w:t>
            </w:r>
          </w:p>
        </w:tc>
        <w:tc>
          <w:tcPr/>
          <w:p>
            <w:pPr>
              <w:pStyle w:val="Compact"/>
              <w:jc w:val="left"/>
            </w:pPr>
            <w:r>
              <w:t xml:space="preserve">kWh/year</w:t>
            </w:r>
          </w:p>
        </w:tc>
      </w:tr>
    </w:tbl>
    <w:bookmarkEnd w:id="29"/>
    <w:bookmarkStart w:id="30" w:name="end-of-life-eol-scenarios-illustrative"/>
    <w:p>
      <w:pPr>
        <w:pStyle w:val="Heading3"/>
      </w:pPr>
      <w:r>
        <w:t xml:space="preserve">3.6. End-of-Life (EoL) Scenarios (Illustrative)</w:t>
      </w:r>
    </w:p>
    <w:p>
      <w:pPr>
        <w:pStyle w:val="FirstParagraph"/>
      </w:pPr>
      <w:r>
        <w:t xml:space="preserve">End-of-Life (EoL) scenarios are incorporated to reflect circular economy impacts: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Recyclability Percentage</w:t>
            </w:r>
          </w:p>
        </w:tc>
        <w:tc>
          <w:tcPr/>
          <w:p>
            <w:pPr>
              <w:pStyle w:val="Compact"/>
              <w:jc w:val="left"/>
            </w:pPr>
            <w:r>
              <w:t xml:space="preserve">80</w:t>
            </w:r>
          </w:p>
        </w:tc>
        <w:tc>
          <w:tcPr/>
          <w:p>
            <w:pPr>
              <w:pStyle w:val="Compact"/>
              <w:jc w:val="left"/>
            </w:pPr>
            <w:r>
              <w:t xml:space="preserve">%</w:t>
            </w:r>
          </w:p>
        </w:tc>
      </w:tr>
      <w:tr>
        <w:tc>
          <w:tcPr/>
          <w:p>
            <w:pPr>
              <w:pStyle w:val="Compact"/>
              <w:jc w:val="left"/>
            </w:pPr>
            <w:r>
              <w:t xml:space="preserve">Circular/Take-back Programs</w:t>
            </w:r>
          </w:p>
        </w:tc>
        <w:tc>
          <w:tcPr/>
          <w:p>
            <w:pPr>
              <w:pStyle w:val="Compact"/>
              <w:jc w:val="left"/>
            </w:pPr>
            <w:r>
              <w:t xml:space="preserve">Yes, established program</w:t>
            </w:r>
          </w:p>
        </w:tc>
        <w:tc>
          <w:tcPr/>
          <w:p>
            <w:pPr>
              <w:pStyle w:val="Compact"/>
              <w:jc w:val="left"/>
            </w:pPr>
            <w:r>
              <w:t xml:space="preserve">-</w:t>
            </w:r>
          </w:p>
        </w:tc>
      </w:tr>
    </w:tbl>
    <w:p>
      <w:r>
        <w:pict>
          <v:rect style="width:0;height:1.5pt" o:hralign="center" o:hrstd="t" o:hr="t"/>
        </w:pict>
      </w:r>
    </w:p>
    <w:bookmarkEnd w:id="30"/>
    <w:bookmarkEnd w:id="31"/>
    <w:bookmarkStart w:id="40" w:name="emissions-calculation"/>
    <w:p>
      <w:pPr>
        <w:pStyle w:val="Heading2"/>
      </w:pPr>
      <w:r>
        <w:t xml:space="preserve">4. Emissions Calculation</w:t>
      </w:r>
    </w:p>
    <w:p>
      <w:pPr>
        <w:pStyle w:val="FirstParagraph"/>
      </w:pPr>
      <w:r>
        <w:t xml:space="preserve">Emissions are calculated using the formula: Activity Data × Emission Factor = CO2e. Industry-standard emission factors from databases like Ecoinvent (for materials, energy) and DEFRA (for transport) are applied.</w:t>
      </w:r>
    </w:p>
    <w:bookmarkStart w:id="32" w:name="scope-1-emissions-direct-emissions"/>
    <w:p>
      <w:pPr>
        <w:pStyle w:val="Heading3"/>
      </w:pPr>
      <w:r>
        <w:t xml:space="preserve">4.1. Scope 1 Emissions (Direct Emissions)</w:t>
      </w:r>
    </w:p>
    <w:p>
      <w:pPr>
        <w:pStyle w:val="FirstParagraph"/>
      </w:pPr>
      <w:r>
        <w:t xml:space="preserve">Given the "factory_gate" system boundary for core production and a product-focused PCF, direct Scope 1 emissions primarily relate to on-site fuel combustion for manufacturing processes not covered by purchased energy. For this illustrative analysis, and without specific fuel consumption data for mdmeuzioul\'s production, we assume direct process emissions specific to the product are negligible or integrated within purchased materials/energy. However, for a corporate-level GHG inventory, Scope 1 would include emissions from owned facilities and vehicles. For the purpose of this PCF, significant Scope 1 emissions are not specifically quantified for the product itself beyond what might be implicitly embedded in upstream materials, unless explicit direct process emissions (e.g. from chemical reactions) were provided.</w:t>
      </w:r>
    </w:p>
    <w:p>
      <w:pPr>
        <w:numPr>
          <w:ilvl w:val="0"/>
          <w:numId w:val="1006"/>
        </w:numPr>
        <w:pStyle w:val="Compact"/>
      </w:pPr>
      <w:r>
        <w:rPr>
          <w:bCs/>
          <w:b/>
        </w:rPr>
        <w:t xml:space="preserve">Illustrative Scope 1 Emissions:</w:t>
      </w:r>
      <w:r>
        <w:t xml:space="preserve"> </w:t>
      </w:r>
      <w:r>
        <w:t xml:space="preserve">0.00 kgCO2e</w:t>
      </w:r>
    </w:p>
    <w:bookmarkEnd w:id="32"/>
    <w:bookmarkStart w:id="33" w:name="scope-2-emissions-purchased-energy"/>
    <w:p>
      <w:pPr>
        <w:pStyle w:val="Heading3"/>
      </w:pPr>
      <w:r>
        <w:t xml:space="preserve">4.2. Scope 2 Emissions (Purchased Energy)</w:t>
      </w:r>
    </w:p>
    <w:p>
      <w:pPr>
        <w:pStyle w:val="FirstParagraph"/>
      </w:pPr>
      <w:r>
        <w:t xml:space="preserve">These emissions arise from the generation of electricity purchased for manufacturing mdmeuzioul in China.</w:t>
      </w:r>
    </w:p>
    <w:p>
      <w:pPr>
        <w:numPr>
          <w:ilvl w:val="0"/>
          <w:numId w:val="1007"/>
        </w:numPr>
        <w:pStyle w:val="Compact"/>
      </w:pPr>
      <w:r>
        <w:t xml:space="preserve">Total energy intensity: 25 kWh/unit.</w:t>
      </w:r>
    </w:p>
    <w:p>
      <w:pPr>
        <w:numPr>
          <w:ilvl w:val="0"/>
          <w:numId w:val="1007"/>
        </w:numPr>
        <w:pStyle w:val="Compact"/>
      </w:pPr>
      <w:r>
        <w:t xml:space="preserve">Renewable energy usage: 60%.</w:t>
      </w:r>
    </w:p>
    <w:p>
      <w:pPr>
        <w:numPr>
          <w:ilvl w:val="0"/>
          <w:numId w:val="1007"/>
        </w:numPr>
        <w:pStyle w:val="Compact"/>
      </w:pPr>
      <w:r>
        <w:t xml:space="preserve">Non-renewable energy portion: 40% of 25 kWh = 10 kWh/unit.</w:t>
      </w:r>
    </w:p>
    <w:p>
      <w:pPr>
        <w:numPr>
          <w:ilvl w:val="0"/>
          <w:numId w:val="1007"/>
        </w:numPr>
        <w:pStyle w:val="Compact"/>
      </w:pPr>
      <w:r>
        <w:t xml:space="preserve">Illustrative China grid emission factor for non-renewable electricity: 0.57 kgCO2e/kWh (based on average values reported for China\'s grid mix).</w:t>
      </w:r>
    </w:p>
    <w:p>
      <w:pPr>
        <w:numPr>
          <w:ilvl w:val="0"/>
          <w:numId w:val="1007"/>
        </w:numPr>
        <w:pStyle w:val="Compact"/>
      </w:pPr>
      <w:r>
        <w:rPr>
          <w:bCs/>
          <w:b/>
        </w:rPr>
        <w:t xml:space="preserve">Calculation:</w:t>
      </w:r>
      <w:r>
        <w:t xml:space="preserve"> </w:t>
      </w:r>
      <w:r>
        <w:t xml:space="preserve">10 kWh/unit × 0.57 kgCO2e/kWh = 5.70 kgCO2e/unit</w:t>
      </w:r>
    </w:p>
    <w:p>
      <w:pPr>
        <w:numPr>
          <w:ilvl w:val="0"/>
          <w:numId w:val="1007"/>
        </w:numPr>
        <w:pStyle w:val="Compact"/>
      </w:pPr>
      <w:r>
        <w:rPr>
          <w:bCs/>
          <w:b/>
        </w:rPr>
        <w:t xml:space="preserve">Illustrative Scope 2 Emissions:</w:t>
      </w:r>
      <w:r>
        <w:t xml:space="preserve"> </w:t>
      </w:r>
      <w:r>
        <w:t xml:space="preserve">5.70 kgCO2e</w:t>
      </w:r>
    </w:p>
    <w:bookmarkEnd w:id="33"/>
    <w:bookmarkStart w:id="38" w:name="scope-3-emissions-value-chain-emissions"/>
    <w:p>
      <w:pPr>
        <w:pStyle w:val="Heading3"/>
      </w:pPr>
      <w:r>
        <w:t xml:space="preserve">4.3. Scope 3 Emissions (Value Chain Emissions)</w:t>
      </w:r>
    </w:p>
    <w:p>
      <w:pPr>
        <w:pStyle w:val="FirstParagraph"/>
      </w:pPr>
      <w:r>
        <w:t xml:space="preserve">Scope 3 emissions are typically the largest contributor to a product\'s carbon footprint.</w:t>
      </w:r>
    </w:p>
    <w:bookmarkStart w:id="34" w:name="X0f2d2e5a8f41e0dd9e73c2a10ba9300f2cea569"/>
    <w:p>
      <w:pPr>
        <w:pStyle w:val="Heading4"/>
      </w:pPr>
      <w:r>
        <w:t xml:space="preserve">4.3.1. Materials Acquisition &amp; Pre-processing (GHG Protocol Scope 3, Category 1)</w:t>
      </w:r>
    </w:p>
    <w:p>
      <w:pPr>
        <w:pStyle w:val="FirstParagraph"/>
      </w:pPr>
      <w:r>
        <w:t xml:space="preserve">Based on the illustrative Detailed Bill of Materials (BOM) provided in Section 3.2.</w:t>
      </w:r>
    </w:p>
    <w:p>
      <w:pPr>
        <w:numPr>
          <w:ilvl w:val="0"/>
          <w:numId w:val="1008"/>
        </w:numPr>
        <w:pStyle w:val="Compact"/>
      </w:pPr>
      <w:r>
        <w:t xml:space="preserve">Aluminum Casing: 0.5 kg × 7.0 kgCO2e/kg = 3.50 kgCO2e</w:t>
      </w:r>
    </w:p>
    <w:p>
      <w:pPr>
        <w:numPr>
          <w:ilvl w:val="0"/>
          <w:numId w:val="1008"/>
        </w:numPr>
        <w:pStyle w:val="Compact"/>
      </w:pPr>
      <w:r>
        <w:t xml:space="preserve">ABS Plastic Components: 0.2 kg × 3.5 kgCO2e/kg = 0.70 kgCO2e</w:t>
      </w:r>
    </w:p>
    <w:p>
      <w:pPr>
        <w:numPr>
          <w:ilvl w:val="0"/>
          <w:numId w:val="1008"/>
        </w:numPr>
        <w:pStyle w:val="Compact"/>
      </w:pPr>
      <w:r>
        <w:t xml:space="preserve">Circuit Board: 0.1 unit × 10.0 kgCO2e/unit = 1.00 kgCO2e</w:t>
      </w:r>
    </w:p>
    <w:p>
      <w:pPr>
        <w:numPr>
          <w:ilvl w:val="0"/>
          <w:numId w:val="1008"/>
        </w:numPr>
        <w:pStyle w:val="Compact"/>
      </w:pPr>
      <w:r>
        <w:t xml:space="preserve">Packaging (Cardboard): 0.1 kg × 1.0 kgCO2e/kg = 0.10 kgCO2e</w:t>
      </w:r>
    </w:p>
    <w:p>
      <w:pPr>
        <w:numPr>
          <w:ilvl w:val="0"/>
          <w:numId w:val="1008"/>
        </w:numPr>
        <w:pStyle w:val="Compact"/>
      </w:pPr>
      <w:r>
        <w:rPr>
          <w:bCs/>
          <w:b/>
        </w:rPr>
        <w:t xml:space="preserve">Illustrative Total Material Emissions:</w:t>
      </w:r>
      <w:r>
        <w:t xml:space="preserve"> </w:t>
      </w:r>
      <w:r>
        <w:t xml:space="preserve">5.30 kgCO2e</w:t>
      </w:r>
    </w:p>
    <w:bookmarkEnd w:id="34"/>
    <w:bookmarkStart w:id="35" w:name="X9a40cb2bede5345b4da7e66e87c663371fa1cb5"/>
    <w:p>
      <w:pPr>
        <w:pStyle w:val="Heading4"/>
      </w:pPr>
      <w:r>
        <w:t xml:space="preserve">4.3.2. Transportation &amp; Distribution (GHG Protocol Scope 3, Category 4 &amp; 9)</w:t>
      </w:r>
    </w:p>
    <w:p>
      <w:pPr>
        <w:pStyle w:val="FirstParagraph"/>
      </w:pPr>
      <w:r>
        <w:t xml:space="preserve">This includes both upstream transport of materials to the factory in China and downstream transport of the finished product to the end-user in Europe, including last-mile delivery.</w:t>
      </w:r>
    </w:p>
    <w:p>
      <w:pPr>
        <w:numPr>
          <w:ilvl w:val="0"/>
          <w:numId w:val="1009"/>
        </w:numPr>
        <w:pStyle w:val="Compact"/>
      </w:pPr>
      <w:r>
        <w:rPr>
          <w:bCs/>
          <w:b/>
        </w:rPr>
        <w:t xml:space="preserve">Upstream Transport (Materials to China Factory):</w:t>
      </w:r>
    </w:p>
    <w:p>
      <w:pPr>
        <w:numPr>
          <w:ilvl w:val="1"/>
          <w:numId w:val="1010"/>
        </w:numPr>
        <w:pStyle w:val="Compact"/>
      </w:pPr>
      <w:r>
        <w:t xml:space="preserve">Assuming an average mass of materials shipped per unit of product is 1.0 kg (0.001 tonne) for simplicity, and an illustrative road freight emission factor of 0.08 kgCO2e/tkm (e.g., for HGV, average laden, consistent with DEFRA data).</w:t>
      </w:r>
    </w:p>
    <w:p>
      <w:pPr>
        <w:numPr>
          <w:ilvl w:val="1"/>
          <w:numId w:val="1010"/>
        </w:numPr>
        <w:pStyle w:val="Compact"/>
      </w:pPr>
      <w:r>
        <w:rPr>
          <w:bCs/>
          <w:b/>
        </w:rPr>
        <w:t xml:space="preserve">Calculation:</w:t>
      </w:r>
      <w:r>
        <w:t xml:space="preserve"> </w:t>
      </w:r>
      <w:r>
        <w:t xml:space="preserve">0.001 tonne/unit × 1500 km × 0.08 kgCO2e/tkm = 0.12 kgCO2e/unit</w:t>
      </w:r>
    </w:p>
    <w:p>
      <w:pPr>
        <w:numPr>
          <w:ilvl w:val="0"/>
          <w:numId w:val="1009"/>
        </w:numPr>
        <w:pStyle w:val="Compact"/>
      </w:pPr>
      <w:r>
        <w:rPr>
          <w:bCs/>
          <w:b/>
        </w:rPr>
        <w:t xml:space="preserve">Downstream Transport (Factory to Europe End-User + Last-Mile):</w:t>
      </w:r>
    </w:p>
    <w:p>
      <w:pPr>
        <w:numPr>
          <w:ilvl w:val="1"/>
          <w:numId w:val="1011"/>
        </w:numPr>
        <w:pStyle w:val="Compact"/>
      </w:pPr>
      <w:r>
        <w:t xml:space="preserve">Assuming the finished product weighs 1.0 kg (0.001 tonne). For long-distance transport from China to Europe (e.g., ocean freight followed by road), a more detailed assessment would be needed. For illustrative purposes, we focus on the European supply chain focus and the last-mile delivery.</w:t>
      </w:r>
    </w:p>
    <w:p>
      <w:pPr>
        <w:numPr>
          <w:ilvl w:val="1"/>
          <w:numId w:val="1011"/>
        </w:numPr>
        <w:pStyle w:val="Compact"/>
      </w:pPr>
      <w:r>
        <w:t xml:space="preserve">Illustrative Last-Mile Delivery (Van Delivery, 50 km) emission factor: 0.20 kgCO2e/km (e.g., for Diesel van, consistent with DEFRA data).</w:t>
      </w:r>
    </w:p>
    <w:p>
      <w:pPr>
        <w:numPr>
          <w:ilvl w:val="1"/>
          <w:numId w:val="1011"/>
        </w:numPr>
        <w:pStyle w:val="Compact"/>
      </w:pPr>
      <w:r>
        <w:rPr>
          <w:bCs/>
          <w:b/>
        </w:rPr>
        <w:t xml:space="preserve">Calculation:</w:t>
      </w:r>
      <w:r>
        <w:t xml:space="preserve"> </w:t>
      </w:r>
      <w:r>
        <w:t xml:space="preserve">50 km × 0.20 kgCO2e/km = 10.00 kgCO2e/unit</w:t>
      </w:r>
    </w:p>
    <w:p>
      <w:pPr>
        <w:numPr>
          <w:ilvl w:val="0"/>
          <w:numId w:val="1009"/>
        </w:numPr>
        <w:pStyle w:val="Compact"/>
      </w:pPr>
      <w:r>
        <w:rPr>
          <w:bCs/>
          <w:b/>
        </w:rPr>
        <w:t xml:space="preserve">Illustrative Total Transportation Emissions:</w:t>
      </w:r>
      <w:r>
        <w:t xml:space="preserve"> </w:t>
      </w:r>
      <w:r>
        <w:t xml:space="preserve">0.12 kgCO2e (Upstream) + 10.00 kgCO2e (Downstream) = 10.12 kgCO2e</w:t>
      </w:r>
    </w:p>
    <w:bookmarkEnd w:id="35"/>
    <w:bookmarkStart w:id="36" w:name="Xa8e7247cc961418494cfd1c175a16dfd86ab7d4"/>
    <w:p>
      <w:pPr>
        <w:pStyle w:val="Heading4"/>
      </w:pPr>
      <w:r>
        <w:t xml:space="preserve">4.3.3. Use Phase (GHG Protocol Scope 3, Category 11)</w:t>
      </w:r>
    </w:p>
    <w:p>
      <w:pPr>
        <w:pStyle w:val="FirstParagraph"/>
      </w:pPr>
      <w:r>
        <w:t xml:space="preserve">Emissions from energy consumption during the product\'s lifespan by the end-user.</w:t>
      </w:r>
    </w:p>
    <w:p>
      <w:pPr>
        <w:numPr>
          <w:ilvl w:val="0"/>
          <w:numId w:val="1012"/>
        </w:numPr>
        <w:pStyle w:val="Compact"/>
      </w:pPr>
      <w:r>
        <w:t xml:space="preserve">Product Lifespan: 5 years.</w:t>
      </w:r>
    </w:p>
    <w:p>
      <w:pPr>
        <w:numPr>
          <w:ilvl w:val="0"/>
          <w:numId w:val="1012"/>
        </w:numPr>
        <w:pStyle w:val="Compact"/>
      </w:pPr>
      <w:r>
        <w:t xml:space="preserve">Annual Energy Consumption: 50 kWh/year.</w:t>
      </w:r>
    </w:p>
    <w:p>
      <w:pPr>
        <w:numPr>
          <w:ilvl w:val="0"/>
          <w:numId w:val="1012"/>
        </w:numPr>
        <w:pStyle w:val="Compact"/>
      </w:pPr>
      <w:r>
        <w:t xml:space="preserve">Total Energy Consumption over Lifespan: 50 kWh/year × 5 years = 250 kWh/unit.</w:t>
      </w:r>
    </w:p>
    <w:p>
      <w:pPr>
        <w:numPr>
          <w:ilvl w:val="0"/>
          <w:numId w:val="1012"/>
        </w:numPr>
        <w:pStyle w:val="Compact"/>
      </w:pPr>
      <w:r>
        <w:t xml:space="preserve">Illustrative European average grid emission factor for electricity during use phase: 0.28 kgCO2e/kWh.</w:t>
      </w:r>
    </w:p>
    <w:p>
      <w:pPr>
        <w:numPr>
          <w:ilvl w:val="0"/>
          <w:numId w:val="1012"/>
        </w:numPr>
        <w:pStyle w:val="Compact"/>
      </w:pPr>
      <w:r>
        <w:rPr>
          <w:bCs/>
          <w:b/>
        </w:rPr>
        <w:t xml:space="preserve">Calculation:</w:t>
      </w:r>
      <w:r>
        <w:t xml:space="preserve"> </w:t>
      </w:r>
      <w:r>
        <w:t xml:space="preserve">250 kWh/unit × 0.28 kgCO2e/kWh = 70.00 kgCO2e/unit</w:t>
      </w:r>
    </w:p>
    <w:p>
      <w:pPr>
        <w:numPr>
          <w:ilvl w:val="0"/>
          <w:numId w:val="1012"/>
        </w:numPr>
        <w:pStyle w:val="Compact"/>
      </w:pPr>
      <w:r>
        <w:rPr>
          <w:bCs/>
          <w:b/>
        </w:rPr>
        <w:t xml:space="preserve">Illustrative Use Phase Emissions:</w:t>
      </w:r>
      <w:r>
        <w:t xml:space="preserve"> </w:t>
      </w:r>
      <w:r>
        <w:t xml:space="preserve">70.00 kgCO2e</w:t>
      </w:r>
    </w:p>
    <w:bookmarkEnd w:id="36"/>
    <w:bookmarkStart w:id="37" w:name="X77780b863f127bf92c8026efdad03dff5174646"/>
    <w:p>
      <w:pPr>
        <w:pStyle w:val="Heading4"/>
      </w:pPr>
      <w:r>
        <w:t xml:space="preserve">4.3.4. End-of-Life (EoL) Treatment (GHG Protocol Scope 3, Category 12)</w:t>
      </w:r>
    </w:p>
    <w:p>
      <w:pPr>
        <w:pStyle w:val="FirstParagraph"/>
      </w:pPr>
      <w:r>
        <w:t xml:space="preserve">Impacts from the disposal, recycling, or recovery of the product at the end of its life, considering circular economy programs.</w:t>
      </w:r>
    </w:p>
    <w:p>
      <w:pPr>
        <w:numPr>
          <w:ilvl w:val="0"/>
          <w:numId w:val="1013"/>
        </w:numPr>
        <w:pStyle w:val="Compact"/>
      </w:pPr>
      <w:r>
        <w:t xml:space="preserve">Recyclability Percentage: 80%.</w:t>
      </w:r>
    </w:p>
    <w:p>
      <w:pPr>
        <w:numPr>
          <w:ilvl w:val="0"/>
          <w:numId w:val="1013"/>
        </w:numPr>
        <w:pStyle w:val="Compact"/>
      </w:pPr>
      <w:r>
        <w:t xml:space="preserve">Circular/Take-back Programs: Yes. This implies potential for avoided emissions (credits) from recycling.</w:t>
      </w:r>
    </w:p>
    <w:p>
      <w:pPr>
        <w:numPr>
          <w:ilvl w:val="0"/>
          <w:numId w:val="1013"/>
        </w:numPr>
        <w:pStyle w:val="Compact"/>
      </w:pPr>
      <w:r>
        <w:t xml:space="preserve">Illustrative Total Material Emissions (from 4.3.1): 5.30 kgCO2e.</w:t>
      </w:r>
    </w:p>
    <w:p>
      <w:pPr>
        <w:numPr>
          <w:ilvl w:val="0"/>
          <w:numId w:val="1013"/>
        </w:numPr>
        <w:pStyle w:val="Compact"/>
      </w:pPr>
      <w:r>
        <w:t xml:space="preserve">Assuming a recycling credit of 50% for recycled materials (illustrative) and a small emission for the non-recycled portion.</w:t>
      </w:r>
    </w:p>
    <w:p>
      <w:pPr>
        <w:numPr>
          <w:ilvl w:val="0"/>
          <w:numId w:val="1013"/>
        </w:numPr>
        <w:pStyle w:val="Compact"/>
      </w:pPr>
      <w:r>
        <w:rPr>
          <w:bCs/>
          <w:b/>
        </w:rPr>
        <w:t xml:space="preserve">Recycling Credit Calculation:</w:t>
      </w:r>
      <w:r>
        <w:t xml:space="preserve"> </w:t>
      </w:r>
      <w:r>
        <w:t xml:space="preserve">80% × 5.30 kgCO2e × -0.50 (credit factor) = -2.12 kgCO2e</w:t>
      </w:r>
    </w:p>
    <w:p>
      <w:pPr>
        <w:numPr>
          <w:ilvl w:val="0"/>
          <w:numId w:val="1013"/>
        </w:numPr>
        <w:pStyle w:val="Compact"/>
      </w:pPr>
      <w:r>
        <w:rPr>
          <w:bCs/>
          <w:b/>
        </w:rPr>
        <w:t xml:space="preserve">Disposal Emissions Calculation (remaining 20%):</w:t>
      </w:r>
      <w:r>
        <w:t xml:space="preserve"> </w:t>
      </w:r>
      <w:r>
        <w:t xml:space="preserve">Assuming the total product mass is 1.0 kg. 20% of 1.0 kg = 0.2 kg disposed. Illustrative disposal emission factor: 0.1 kgCO2e/kg.</w:t>
      </w:r>
    </w:p>
    <w:p>
      <w:pPr>
        <w:numPr>
          <w:ilvl w:val="0"/>
          <w:numId w:val="1013"/>
        </w:numPr>
        <w:pStyle w:val="Compact"/>
      </w:pPr>
      <w:r>
        <w:rPr>
          <w:bCs/>
          <w:b/>
        </w:rPr>
        <w:t xml:space="preserve">Disposal Calculation:</w:t>
      </w:r>
      <w:r>
        <w:t xml:space="preserve"> </w:t>
      </w:r>
      <w:r>
        <w:t xml:space="preserve">0.2 kg × 0.1 kgCO2e/kg = 0.02 kgCO2e</w:t>
      </w:r>
    </w:p>
    <w:p>
      <w:pPr>
        <w:numPr>
          <w:ilvl w:val="0"/>
          <w:numId w:val="1013"/>
        </w:numPr>
        <w:pStyle w:val="Compact"/>
      </w:pPr>
      <w:r>
        <w:rPr>
          <w:bCs/>
          <w:b/>
        </w:rPr>
        <w:t xml:space="preserve">Illustrative Net End-of-Life Impact:</w:t>
      </w:r>
      <w:r>
        <w:t xml:space="preserve"> </w:t>
      </w:r>
      <w:r>
        <w:t xml:space="preserve">-2.12 kgCO2e + 0.02 kgCO2e = -2.10 kgCO2e (This is a net credit due to effective recycling)</w:t>
      </w:r>
    </w:p>
    <w:bookmarkEnd w:id="37"/>
    <w:bookmarkEnd w:id="38"/>
    <w:bookmarkStart w:id="39" w:name="X9b435f9006cf04294f943c0bc3e88ac8be6bd1a"/>
    <w:p>
      <w:pPr>
        <w:pStyle w:val="Heading3"/>
      </w:pPr>
      <w:r>
        <w:t xml:space="preserve">4.4. Total Product Carbon Footprint (Illustrative)</w:t>
      </w:r>
    </w:p>
    <w:p>
      <w:pPr>
        <w:pStyle w:val="FirstParagraph"/>
      </w:pPr>
      <w:r>
        <w:t xml:space="preserve">Summary of emissions across all lifecycle stages and GHG Protocol Scopes for one functional unit of mdmeuzioul: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Stage/Scope</w:t>
            </w:r>
          </w:p>
        </w:tc>
        <w:tc>
          <w:tcPr/>
          <w:p>
            <w:pPr>
              <w:pStyle w:val="Compact"/>
              <w:jc w:val="left"/>
            </w:pPr>
            <w:r>
              <w:t xml:space="preserve">Illustrative CO2e (kg/unit)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Electricity (Production)</w:t>
            </w:r>
          </w:p>
        </w:tc>
        <w:tc>
          <w:tcPr/>
          <w:p>
            <w:pPr>
              <w:pStyle w:val="Compact"/>
              <w:jc w:val="left"/>
            </w:pPr>
            <w:r>
              <w:t xml:space="preserve">5.70</w:t>
            </w:r>
          </w:p>
        </w:tc>
        <w:tc>
          <w:tcPr/>
          <w:p>
            <w:pPr>
              <w:pStyle w:val="Compact"/>
              <w:jc w:val="left"/>
            </w:pPr>
            <w:r>
              <w:t xml:space="preserve">5.9%</w:t>
            </w:r>
          </w:p>
        </w:tc>
      </w:tr>
      <w:tr>
        <w:tc>
          <w:tcPr>
            <w:gridSpan w:val="3"/>
          </w:tcPr>
          <w:p>
            <w:pPr>
              <w:pStyle w:val="Compact"/>
              <w:jc w:val="left"/>
            </w:pPr>
            <w:r>
              <w:rPr>
                <w:bCs/>
                <w:b/>
              </w:rPr>
              <w:t xml:space="preserve">Scope 3: Value Chain Emissions</w:t>
            </w:r>
          </w:p>
        </w:tc>
      </w:tr>
      <w:tr>
        <w:tc>
          <w:tcPr/>
          <w:p>
            <w:pPr>
              <w:pStyle w:val="Compact"/>
              <w:jc w:val="left"/>
            </w:pPr>
            <w:r>
              <w:t xml:space="preserve">    Materials Acquisition &amp; Pre-processing (C1)</w:t>
            </w:r>
          </w:p>
        </w:tc>
        <w:tc>
          <w:tcPr/>
          <w:p>
            <w:pPr>
              <w:pStyle w:val="Compact"/>
              <w:jc w:val="left"/>
            </w:pPr>
            <w:r>
              <w:t xml:space="preserve">5.30</w:t>
            </w:r>
          </w:p>
        </w:tc>
        <w:tc>
          <w:tcPr/>
          <w:p>
            <w:pPr>
              <w:pStyle w:val="Compact"/>
              <w:jc w:val="left"/>
            </w:pPr>
            <w:r>
              <w:t xml:space="preserve">5.5%</w:t>
            </w:r>
          </w:p>
        </w:tc>
      </w:tr>
      <w:tr>
        <w:tc>
          <w:tcPr/>
          <w:p>
            <w:pPr>
              <w:pStyle w:val="Compact"/>
              <w:jc w:val="left"/>
            </w:pPr>
            <w:r>
              <w:t xml:space="preserve">    Transportation &amp; Distribution (C4 &amp; C9)</w:t>
            </w:r>
          </w:p>
        </w:tc>
        <w:tc>
          <w:tcPr/>
          <w:p>
            <w:pPr>
              <w:pStyle w:val="Compact"/>
              <w:jc w:val="left"/>
            </w:pPr>
            <w:r>
              <w:t xml:space="preserve">10.12</w:t>
            </w:r>
          </w:p>
        </w:tc>
        <w:tc>
          <w:tcPr/>
          <w:p>
            <w:pPr>
              <w:pStyle w:val="Compact"/>
              <w:jc w:val="left"/>
            </w:pPr>
            <w:r>
              <w:t xml:space="preserve">10.5%</w:t>
            </w:r>
          </w:p>
        </w:tc>
      </w:tr>
      <w:tr>
        <w:tc>
          <w:tcPr/>
          <w:p>
            <w:pPr>
              <w:pStyle w:val="Compact"/>
              <w:jc w:val="left"/>
            </w:pPr>
            <w:r>
              <w:t xml:space="preserve">    Use Phase (C11)</w:t>
            </w:r>
          </w:p>
        </w:tc>
        <w:tc>
          <w:tcPr/>
          <w:p>
            <w:pPr>
              <w:pStyle w:val="Compact"/>
              <w:jc w:val="left"/>
            </w:pPr>
            <w:r>
              <w:t xml:space="preserve">70.00</w:t>
            </w:r>
          </w:p>
        </w:tc>
        <w:tc>
          <w:tcPr/>
          <w:p>
            <w:pPr>
              <w:pStyle w:val="Compact"/>
              <w:jc w:val="left"/>
            </w:pPr>
            <w:r>
              <w:t xml:space="preserve">72.5%</w:t>
            </w:r>
          </w:p>
        </w:tc>
      </w:tr>
      <w:tr>
        <w:tc>
          <w:tcPr/>
          <w:p>
            <w:pPr>
              <w:pStyle w:val="Compact"/>
              <w:jc w:val="left"/>
            </w:pPr>
            <w:r>
              <w:t xml:space="preserve">    End-of-Life Treatment (C12)</w:t>
            </w:r>
          </w:p>
        </w:tc>
        <w:tc>
          <w:tcPr/>
          <w:p>
            <w:pPr>
              <w:pStyle w:val="Compact"/>
              <w:jc w:val="left"/>
            </w:pPr>
            <w:r>
              <w:t xml:space="preserve">-2.10</w:t>
            </w:r>
          </w:p>
        </w:tc>
        <w:tc>
          <w:tcPr/>
          <w:p>
            <w:pPr>
              <w:pStyle w:val="Compact"/>
              <w:jc w:val="left"/>
            </w:pPr>
            <w:r>
              <w:t xml:space="preserve">-2.2%</w:t>
            </w:r>
          </w:p>
        </w:tc>
      </w:tr>
      <w:tr>
        <w:tc>
          <w:tcPr/>
          <w:p>
            <w:pPr>
              <w:pStyle w:val="Compact"/>
              <w:jc w:val="left"/>
            </w:pPr>
            <w:r>
              <w:rPr>
                <w:bCs/>
                <w:b/>
              </w:rPr>
              <w:t xml:space="preserve">TOTAL PRODUCT CARBON FOOTPRINT</w:t>
            </w:r>
          </w:p>
        </w:tc>
        <w:tc>
          <w:tcPr/>
          <w:p>
            <w:pPr>
              <w:pStyle w:val="Compact"/>
              <w:jc w:val="left"/>
            </w:pPr>
            <w:r>
              <w:rPr>
                <w:bCs/>
                <w:b/>
              </w:rPr>
              <w:t xml:space="preserve">91.42</w:t>
            </w:r>
          </w:p>
        </w:tc>
        <w:tc>
          <w:tcPr/>
          <w:p>
            <w:pPr>
              <w:pStyle w:val="Compact"/>
              <w:jc w:val="left"/>
            </w:pPr>
            <w:r>
              <w:rPr>
                <w:bCs/>
                <w:b/>
              </w:rPr>
              <w:t xml:space="preserve">100.0%</w:t>
            </w:r>
          </w:p>
        </w:tc>
      </w:tr>
    </w:tbl>
    <w:p>
      <w:pPr>
        <w:pStyle w:val="BodyText"/>
      </w:pPr>
      <w:r>
        <w:rPr>
          <w:iCs/>
          <w:i/>
        </w:rPr>
        <w:t xml:space="preserve">Note: Percentages may not sum to 100% due to rounding and the inclusion of a net credit in End-of-Life.</w:t>
      </w:r>
    </w:p>
    <w:p>
      <w:r>
        <w:pict>
          <v:rect style="width:0;height:1.5pt" o:hralign="center" o:hrstd="t" o:hr="t"/>
        </w:pict>
      </w:r>
    </w:p>
    <w:bookmarkEnd w:id="39"/>
    <w:bookmarkEnd w:id="40"/>
    <w:bookmarkStart w:id="44" w:name="review-and-reporting"/>
    <w:p>
      <w:pPr>
        <w:pStyle w:val="Heading2"/>
      </w:pPr>
      <w:r>
        <w:t xml:space="preserve">5. Review and Reporting</w:t>
      </w:r>
    </w:p>
    <w:bookmarkStart w:id="41" w:name="hotspots-identification"/>
    <w:p>
      <w:pPr>
        <w:pStyle w:val="Heading3"/>
      </w:pPr>
      <w:r>
        <w:t xml:space="preserve">5.1. Hotspots Identification</w:t>
      </w:r>
    </w:p>
    <w:p>
      <w:pPr>
        <w:pStyle w:val="FirstParagraph"/>
      </w:pPr>
      <w:r>
        <w:t xml:space="preserve">Based on the illustrative calculations, the primary emission hotspots for mdmeuzioul are:</w:t>
      </w:r>
    </w:p>
    <w:p>
      <w:pPr>
        <w:numPr>
          <w:ilvl w:val="0"/>
          <w:numId w:val="1014"/>
        </w:numPr>
        <w:pStyle w:val="Compact"/>
      </w:pPr>
      <w:r>
        <w:rPr>
          <w:bCs/>
          <w:b/>
        </w:rPr>
        <w:t xml:space="preserve">Use Phase (approx. 72.5%):</w:t>
      </w:r>
      <w:r>
        <w:t xml:space="preserve"> </w:t>
      </w:r>
      <w:r>
        <w:t xml:space="preserve">The most significant contributor to the total PCF is the energy consumed during the product\'s 5-year lifespan. This highlights the critical importance of product energy efficiency and the carbon intensity of the grid electricity where the product is used. This finding is consistent with many electronics products.</w:t>
      </w:r>
    </w:p>
    <w:p>
      <w:pPr>
        <w:numPr>
          <w:ilvl w:val="0"/>
          <w:numId w:val="1014"/>
        </w:numPr>
        <w:pStyle w:val="Compact"/>
      </w:pPr>
      <w:r>
        <w:rPr>
          <w:bCs/>
          <w:b/>
        </w:rPr>
        <w:t xml:space="preserve">Transportation &amp; Distribution (approx. 10.5%):</w:t>
      </w:r>
      <w:r>
        <w:t xml:space="preserve"> </w:t>
      </w:r>
      <w:r>
        <w:t xml:space="preserve">Downstream last-mile delivery significantly contributes, indicating potential for optimization in logistics strategy and mode selection.</w:t>
      </w:r>
    </w:p>
    <w:p>
      <w:pPr>
        <w:numPr>
          <w:ilvl w:val="0"/>
          <w:numId w:val="1014"/>
        </w:numPr>
        <w:pStyle w:val="Compact"/>
      </w:pPr>
      <w:r>
        <w:rPr>
          <w:bCs/>
          <w:b/>
        </w:rPr>
        <w:t xml:space="preserve">Purchased Electricity for Production (Scope 2, approx. 5.9%):</w:t>
      </w:r>
      <w:r>
        <w:t xml:space="preserve"> </w:t>
      </w:r>
      <w:r>
        <w:t xml:space="preserve">Emissions from manufacturing in China are notable, driven by the energy intensity and the (non-renewable portion of) the regional grid mix.</w:t>
      </w:r>
    </w:p>
    <w:p>
      <w:pPr>
        <w:numPr>
          <w:ilvl w:val="0"/>
          <w:numId w:val="1014"/>
        </w:numPr>
        <w:pStyle w:val="Compact"/>
      </w:pPr>
      <w:r>
        <w:rPr>
          <w:bCs/>
          <w:b/>
        </w:rPr>
        <w:t xml:space="preserve">Materials Acquisition &amp; Pre-processing (Scope 3, Category 1, approx. 5.5%):</w:t>
      </w:r>
      <w:r>
        <w:t xml:space="preserve"> </w:t>
      </w:r>
      <w:r>
        <w:t xml:space="preserve">Specific materials like Aluminum Casing and the Circuit Board show higher individual impacts, pointing to the importance of sustainable material sourcing.</w:t>
      </w:r>
    </w:p>
    <w:bookmarkEnd w:id="41"/>
    <w:bookmarkStart w:id="42" w:name="data-reliability-and-limitations"/>
    <w:p>
      <w:pPr>
        <w:pStyle w:val="Heading3"/>
      </w:pPr>
      <w:r>
        <w:t xml:space="preserve">5.2. Data Reliability and Limitations</w:t>
      </w:r>
    </w:p>
    <w:p>
      <w:pPr>
        <w:pStyle w:val="FirstParagraph"/>
      </w:pPr>
      <w:r>
        <w:t xml:space="preserve">This report is based on the parameters provided. As many critical parameters (BOM, Transport Mode/Distance, Energy Usage, Lifespan, Recyclability) were given as placeholders, illustrative values and industry-average emission factors (e.g., from Ecoinvent and DEFRA) have been used. While these factors are scientifically robust and widely accepted, the precision of the overall PCF is dependent on the accuracy and specificity of the underlying activity data. For a truly high-accuracy PCF, primary data from fjnrfunsjd and its supply chain partners would be essential. The 2026 GHG Protocol Scope 3 requirements emphasize data quality, including disaggregation by data type (e.g., primary activity data vs. estimates) and setting annual data quality improvement targets. This report provides a robust framework for such detailed data collection and reporting.</w:t>
      </w:r>
    </w:p>
    <w:bookmarkEnd w:id="42"/>
    <w:bookmarkStart w:id="43" w:name="recommendations-for-reduction"/>
    <w:p>
      <w:pPr>
        <w:pStyle w:val="Heading3"/>
      </w:pPr>
      <w:r>
        <w:t xml:space="preserve">5.3. Recommendations for Reduction</w:t>
      </w:r>
    </w:p>
    <w:p>
      <w:pPr>
        <w:pStyle w:val="FirstParagraph"/>
      </w:pPr>
      <w:r>
        <w:t xml:space="preserve">To significantly reduce the carbon footprint of mdmeuzioul, fjnrfunsjd should consider the following strategic actions:</w:t>
      </w:r>
    </w:p>
    <w:p>
      <w:pPr>
        <w:numPr>
          <w:ilvl w:val="0"/>
          <w:numId w:val="1015"/>
        </w:numPr>
        <w:pStyle w:val="Compact"/>
      </w:pPr>
      <w:r>
        <w:rPr>
          <w:bCs/>
          <w:b/>
        </w:rPr>
        <w:t xml:space="preserve">Optimize Use Phase Energy Efficiency:</w:t>
      </w:r>
      <w:r>
        <w:t xml:space="preserve"> </w:t>
      </w:r>
      <w:r>
        <w:t xml:space="preserve">Prioritize research and development into design improvements that drastically reduce the energy consumption of mdmeuzioul during its operational lifespan. Educate end-users on energy-efficient usage and highlight the benefits of renewable energy sources for product charging/operation.</w:t>
      </w:r>
    </w:p>
    <w:p>
      <w:pPr>
        <w:numPr>
          <w:ilvl w:val="0"/>
          <w:numId w:val="1015"/>
        </w:numPr>
        <w:pStyle w:val="Compact"/>
      </w:pPr>
      <w:r>
        <w:rPr>
          <w:bCs/>
          <w:b/>
        </w:rPr>
        <w:t xml:space="preserve">Decarbonize Production Energy:</w:t>
      </w:r>
      <w:r>
        <w:t xml:space="preserve"> </w:t>
      </w:r>
      <w:r>
        <w:t xml:space="preserve">Increase the procurement of certified renewable electricity for the manufacturing facility in China, moving beyond the current 60% illustrative usage. Explore on-site renewable energy generation where feasible.</w:t>
      </w:r>
    </w:p>
    <w:p>
      <w:pPr>
        <w:numPr>
          <w:ilvl w:val="0"/>
          <w:numId w:val="1015"/>
        </w:numPr>
        <w:pStyle w:val="Compact"/>
      </w:pPr>
      <w:r>
        <w:rPr>
          <w:bCs/>
          <w:b/>
        </w:rPr>
        <w:t xml:space="preserve">Enhance Sustainable Sourcing:</w:t>
      </w:r>
      <w:r>
        <w:t xml:space="preserve"> </w:t>
      </w:r>
      <w:r>
        <w:t xml:space="preserve">Engage proactively with suppliers of high-impact materials (e.g., Aluminum, ABS plastic, Circuit Board components) to identify and procure lower-carbon alternatives or materials produced with renewable energy. Focus on transparency and data collection from suppliers to meet Scope 3 compliance.</w:t>
      </w:r>
    </w:p>
    <w:p>
      <w:pPr>
        <w:numPr>
          <w:ilvl w:val="0"/>
          <w:numId w:val="1015"/>
        </w:numPr>
        <w:pStyle w:val="Compact"/>
      </w:pPr>
      <w:r>
        <w:rPr>
          <w:bCs/>
          <w:b/>
        </w:rPr>
        <w:t xml:space="preserve">Optimize Logistics and Last-Mile Delivery:</w:t>
      </w:r>
      <w:r>
        <w:t xml:space="preserve"> </w:t>
      </w:r>
      <w:r>
        <w:t xml:space="preserve">Evaluate and optimize transportation modes and routes for both upstream and downstream logistics, prioritizing lower-emission options (e.g., rail, sea, electric vehicles for last-mile delivery where available in Europe). Consolidate shipments to improve load factors.</w:t>
      </w:r>
    </w:p>
    <w:p>
      <w:pPr>
        <w:numPr>
          <w:ilvl w:val="0"/>
          <w:numId w:val="1015"/>
        </w:numPr>
        <w:pStyle w:val="Compact"/>
      </w:pPr>
      <w:r>
        <w:rPr>
          <w:bCs/>
          <w:b/>
        </w:rPr>
        <w:t xml:space="preserve">Strengthen Circular Economy Initiatives:</w:t>
      </w:r>
      <w:r>
        <w:t xml:space="preserve"> </w:t>
      </w:r>
      <w:r>
        <w:t xml:space="preserve">Expand and promote the existing circular/take-back programs to maximize the collection, reuse, refurbishment, and recycling of mdmeuzioul components. Invest in design-for-disassembly and material recovery processes to increase the recyclability percentage beyond the illustrative 80%.</w:t>
      </w:r>
    </w:p>
    <w:p>
      <w:pPr>
        <w:numPr>
          <w:ilvl w:val="0"/>
          <w:numId w:val="1015"/>
        </w:numPr>
        <w:pStyle w:val="Compact"/>
      </w:pPr>
      <w:r>
        <w:rPr>
          <w:bCs/>
          <w:b/>
        </w:rPr>
        <w:t xml:space="preserve">Improve Data Quality and Granularity:</w:t>
      </w:r>
      <w:r>
        <w:t xml:space="preserve"> </w:t>
      </w:r>
      <w:r>
        <w:t xml:space="preserve">Implement robust systems for collecting primary activity data across all Scope 3 categories to enhance the accuracy and verifiability of future PCF calculations, aligning with the stringent 2026 GHG Protocol requirements for completeness and data transparency.</w:t>
      </w:r>
    </w:p>
    <w:p>
      <w:pPr>
        <w:pStyle w:val="FirstParagraph"/>
      </w:pPr>
      <w:r>
        <w:t xml:space="preserve">Confidential - Internal Use Only | Generated by carboncalcpcf.com</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mdmeuzioul</dc:title>
  <dc:creator/>
  <dc:description>Product Carbon Footprint (PCF) analysis report for mdmeuzioul, adhering to GHG Protocol and 2026 LSR and Scope 3 compliance, for company fjnrfunsjd.</dc:description>
  <dc:language>en</dc:language>
  <cp:keywords/>
  <dcterms:created xsi:type="dcterms:W3CDTF">2026-05-30T11:30:34Z</dcterms:created>
  <dcterms:modified xsi:type="dcterms:W3CDTF">2026-05-30T11:30:34Z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