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ltefhxxljg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ltefhxxljg</w:t>
      </w:r>
    </w:p>
    <w:p>
      <w:pPr>
        <w:pStyle w:val="BodyText"/>
      </w:pPr>
      <w:r>
        <w:rPr>
          <w:bCs/>
          <w:b/>
        </w:rPr>
        <w:t xml:space="preserve">Company:</w:t>
      </w:r>
      <w:r>
        <w:t xml:space="preserve"> </w:t>
      </w:r>
      <w:r>
        <w:t xml:space="preserve">xfhjnpzjwg</w:t>
      </w:r>
    </w:p>
    <w:p>
      <w:pPr>
        <w:pStyle w:val="BodyText"/>
      </w:pPr>
      <w:r>
        <w:rPr>
          <w:bCs/>
          <w:b/>
        </w:rPr>
        <w:t xml:space="preserve">Senior Sustainability Consultant:</w:t>
      </w:r>
      <w:r>
        <w:t xml:space="preserve"> </w:t>
      </w:r>
      <w:r>
        <w:t xml:space="preserve">wwpdhjgxev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based on real-time operational data and evolving methodologies.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ltefhxxljg</w:t>
      </w:r>
    </w:p>
    <w:p>
      <w:pPr>
        <w:pStyle w:val="BodyText"/>
      </w:pPr>
      <w:r>
        <w:rPr>
          <w:bCs/>
          <w:b/>
        </w:rPr>
        <w:t xml:space="preserve">Company:</w:t>
      </w:r>
      <w:r>
        <w:t xml:space="preserve"> </w:t>
      </w:r>
      <w:r>
        <w:t xml:space="preserve">xfhjnpzjwg</w:t>
      </w:r>
    </w:p>
    <w:p>
      <w:pPr>
        <w:pStyle w:val="BodyText"/>
      </w:pPr>
      <w:r>
        <w:rPr>
          <w:bCs/>
          <w:b/>
        </w:rPr>
        <w:t xml:space="preserve">Senior Sustainability Consultant:</w:t>
      </w:r>
      <w:r>
        <w:t xml:space="preserve"> </w:t>
      </w:r>
      <w:r>
        <w:t xml:space="preserve">wwpdhjgxev</w:t>
      </w:r>
    </w:p>
    <w:p>
      <w:pPr>
        <w:pStyle w:val="BodyText"/>
      </w:pPr>
      <w:r>
        <w:t xml:space="preserve">Generated Date: 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ltefhxxljg</w:t>
      </w:r>
      <w:r>
        <w:t xml:space="preserve">, manufactured by</w:t>
      </w:r>
      <w:r>
        <w:t xml:space="preserve"> </w:t>
      </w:r>
      <w:r>
        <w:rPr>
          <w:bCs/>
          <w:b/>
        </w:rPr>
        <w:t xml:space="preserve">xfhjnpzjwg</w:t>
      </w:r>
      <w:r>
        <w:t xml:space="preserve">. Conducted by Senior Sustainability Consultant</w:t>
      </w:r>
      <w:r>
        <w:t xml:space="preserve"> </w:t>
      </w:r>
      <w:r>
        <w:rPr>
          <w:bCs/>
          <w:b/>
        </w:rPr>
        <w:t xml:space="preserve">wwpdhjgxev</w:t>
      </w:r>
      <w:r>
        <w:t xml:space="preserve">, this assessment adheres strictly to the GHG Protocol, incorporating the 2026 Land Sector and Removals (LSR) Standard and targeting over 95% Scope 3 coverage. The analysis covers the entire product lifecycle from raw material acquisition to end-of-life, identifying key emission hotspots and providing a comprehensive overview of the product\'s environmental impact on a functional unit basis (1.0 unit).</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scoping phase establishes the foundational parameters for the PCF analysis, ensuring a clear and consistent assessment boundary.</w:t>
      </w:r>
    </w:p>
    <w:p>
      <w:pPr>
        <w:numPr>
          <w:ilvl w:val="0"/>
          <w:numId w:val="1001"/>
        </w:numPr>
        <w:pStyle w:val="Compact"/>
      </w:pPr>
      <w:r>
        <w:rPr>
          <w:bCs/>
          <w:b/>
        </w:rPr>
        <w:t xml:space="preserve">Functional Unit:</w:t>
      </w:r>
      <w:r>
        <w:t xml:space="preserve"> </w:t>
      </w:r>
      <w:r>
        <w:t xml:space="preserve">The reference unit for which the carbon footprint is calculated, set at 1.0 unit of ltefhxxljg.</w:t>
      </w:r>
    </w:p>
    <w:p>
      <w:pPr>
        <w:numPr>
          <w:ilvl w:val="0"/>
          <w:numId w:val="1001"/>
        </w:numPr>
        <w:pStyle w:val="Compact"/>
      </w:pPr>
      <w:r>
        <w:rPr>
          <w:bCs/>
          <w:b/>
        </w:rPr>
        <w:t xml:space="preserve">System Boundary:</w:t>
      </w:r>
      <w:r>
        <w:t xml:space="preserve"> </w:t>
      </w:r>
      <w:r>
        <w:t xml:space="preserve">A "factory_gate" to "grave" approach is adopted, encompassing all activities from raw material acquisition, manufacturing, distribution, use, and end-of-life stages.</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where applicable.</w:t>
      </w:r>
    </w:p>
    <w:p>
      <w:pPr>
        <w:numPr>
          <w:ilvl w:val="0"/>
          <w:numId w:val="1001"/>
        </w:numPr>
        <w:pStyle w:val="Compact"/>
      </w:pPr>
      <w:r>
        <w:rPr>
          <w:bCs/>
          <w:b/>
        </w:rPr>
        <w:t xml:space="preserve">Accounting Standard:</w:t>
      </w:r>
      <w:r>
        <w:t xml:space="preserve"> </w:t>
      </w:r>
      <w:r>
        <w:t xml:space="preserve">The assessment strictly follows the</w:t>
      </w:r>
      <w:r>
        <w:t xml:space="preserve"> </w:t>
      </w:r>
      <w:hyperlink r:id="rId23">
        <w:r>
          <w:rPr>
            <w:rStyle w:val="Hyperlink"/>
          </w:rPr>
          <w:t xml:space="preserve">GHG Protocol Product Standard</w:t>
        </w:r>
      </w:hyperlink>
      <w:r>
        <w:t xml:space="preserve"> </w:t>
      </w:r>
      <w:r>
        <w:t xml:space="preserve">and incorporates the principles of the 2026 Land Sector and Removals (LSR) Standard.</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analysis. For illustrative purposes, placeholder values have been used where specific data was not provided in the request (e.g., actual BOM details, exact transport distances, specific energy consumption in use). In a real-world scenario, these would be populated with actual operational data.</w:t>
      </w:r>
    </w:p>
    <w:bookmarkStart w:id="25" w:name="X27a25553588624fb7137dac639b913f4bd3af60"/>
    <w:p>
      <w:pPr>
        <w:pStyle w:val="Heading3"/>
      </w:pPr>
      <w:r>
        <w:t xml:space="preserve">2.1. Material Acquisition &amp; Pre-processing (Upstream - Scope 3)</w:t>
      </w:r>
    </w:p>
    <w:p>
      <w:pPr>
        <w:pStyle w:val="FirstParagraph"/>
      </w:pPr>
      <w:r>
        <w:t xml:space="preserve">The Bill of Materials (BOM) for ltefhxxljg is critical for assessing the emissions associated with raw material extraction, processing, and component manufacturing. The following table illustrates the material breakdown and their associated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 kgCO2e/unit)</w:t>
            </w:r>
          </w:p>
        </w:tc>
        <w:tc>
          <w:tcPr/>
          <w:p>
            <w:pPr>
              <w:pStyle w:val="Compact"/>
              <w:jc w:val="left"/>
            </w:pPr>
            <w:r>
              <w:t xml:space="preserve">Total Carbon (Illustrative,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 Asia</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iCs/>
          <w:i/>
        </w:rPr>
        <w:t xml:space="preserve">Note: The specific BOM data `pyvvmxzl` was used in the calculations, and the \'Total Carbon\' values in the table are directly derived from the provided data format (ID, Description, Category, Process, Qty, Unit, Emission Factor, Total Carbon). The emission factors are illustrative, and actual calculations would use Ecoinvent/DEFRA data specific to the process and geography.</w:t>
      </w:r>
    </w:p>
    <w:bookmarkEnd w:id="25"/>
    <w:bookmarkStart w:id="26" w:name="manufacturing-core---scope-1-2"/>
    <w:p>
      <w:pPr>
        <w:pStyle w:val="Heading3"/>
      </w:pPr>
      <w:r>
        <w:t xml:space="preserve">2.2. Manufacturing (Core - Scope 1 &amp; 2)</w:t>
      </w:r>
    </w:p>
    <w:p>
      <w:pPr>
        <w:pStyle w:val="FirstParagraph"/>
      </w:pPr>
      <w:r>
        <w:t xml:space="preserve">The manufacturing process in China involves energy consumption for assembly, testing, and other factory operations.</w:t>
      </w:r>
    </w:p>
    <w:p>
      <w:pPr>
        <w:numPr>
          <w:ilvl w:val="0"/>
          <w:numId w:val="1002"/>
        </w:numPr>
        <w:pStyle w:val="Compact"/>
      </w:pPr>
      <w:r>
        <w:rPr>
          <w:bCs/>
          <w:b/>
        </w:rPr>
        <w:t xml:space="preserve">Energy Intensity (kWh/unit):</w:t>
      </w:r>
      <w:r>
        <w:t xml:space="preserve"> </w:t>
      </w:r>
      <w:r>
        <w:t xml:space="preserve">upxufohxzw (Illustrative: 1.5 kWh/unit)</w:t>
      </w:r>
    </w:p>
    <w:p>
      <w:pPr>
        <w:numPr>
          <w:ilvl w:val="0"/>
          <w:numId w:val="1002"/>
        </w:numPr>
        <w:pStyle w:val="Compact"/>
      </w:pPr>
      <w:r>
        <w:rPr>
          <w:bCs/>
          <w:b/>
        </w:rPr>
        <w:t xml:space="preserve">Renewable Energy Usage:</w:t>
      </w:r>
      <w:r>
        <w:t xml:space="preserve"> </w:t>
      </w:r>
      <w:r>
        <w:t xml:space="preserve">uqdfykzkhr (Illustrative: 75%)</w:t>
      </w:r>
    </w:p>
    <w:p>
      <w:pPr>
        <w:numPr>
          <w:ilvl w:val="0"/>
          <w:numId w:val="1002"/>
        </w:numPr>
        <w:pStyle w:val="Compact"/>
      </w:pPr>
      <w:r>
        <w:rPr>
          <w:bCs/>
          <w:b/>
        </w:rPr>
        <w:t xml:space="preserve">Non-renewable Electricity Share:</w:t>
      </w:r>
      <w:r>
        <w:t xml:space="preserve"> </w:t>
      </w:r>
      <w:r>
        <w:t xml:space="preserve">100% - uqdfykzkhr (Illustrative: 25%)</w:t>
      </w:r>
    </w:p>
    <w:p>
      <w:pPr>
        <w:numPr>
          <w:ilvl w:val="0"/>
          <w:numId w:val="1002"/>
        </w:numPr>
        <w:pStyle w:val="Compact"/>
      </w:pPr>
      <w:r>
        <w:rPr>
          <w:bCs/>
          <w:b/>
        </w:rPr>
        <w:t xml:space="preserve">On-site Fuel Consumption:</w:t>
      </w:r>
      <w:r>
        <w:t xml:space="preserve"> </w:t>
      </w:r>
      <w:r>
        <w:t xml:space="preserve">Assumed negligible for direct product manufacturing process based on factory_gate boundary and product type, but would be included if applicable (e.g., natural gas for heating a specific process).</w:t>
      </w:r>
    </w:p>
    <w:bookmarkEnd w:id="26"/>
    <w:bookmarkStart w:id="27" w:name="Xd2c26f3a886b10000824b169fd94a9ab4363364"/>
    <w:p>
      <w:pPr>
        <w:pStyle w:val="Heading3"/>
      </w:pPr>
      <w:r>
        <w:t xml:space="preserve">2.3. Transport &amp; Distribution (Upstream &amp; Downstream - Scope 3)</w:t>
      </w:r>
    </w:p>
    <w:p>
      <w:pPr>
        <w:pStyle w:val="FirstParagraph"/>
      </w:pPr>
      <w:r>
        <w:t xml:space="preserve">Logistics play a significant role in the overall footprint, covering transportation of materials to the factory and finished products to the customer.</w:t>
      </w:r>
    </w:p>
    <w:p>
      <w:pPr>
        <w:numPr>
          <w:ilvl w:val="0"/>
          <w:numId w:val="1003"/>
        </w:numPr>
        <w:pStyle w:val="Compact"/>
      </w:pPr>
      <w:r>
        <w:rPr>
          <w:bCs/>
          <w:b/>
        </w:rPr>
        <w:t xml:space="preserve">Upstream Transport:</w:t>
      </w:r>
    </w:p>
    <w:p>
      <w:pPr>
        <w:numPr>
          <w:ilvl w:val="0"/>
          <w:numId w:val="1003"/>
        </w:numPr>
        <w:pStyle w:val="Compact"/>
      </w:pPr>
    </w:p>
    <w:p>
      <w:pPr>
        <w:numPr>
          <w:ilvl w:val="1"/>
          <w:numId w:val="1004"/>
        </w:numPr>
        <w:pStyle w:val="Compact"/>
      </w:pPr>
      <w:r>
        <w:rPr>
          <w:bCs/>
          <w:b/>
        </w:rPr>
        <w:t xml:space="preserve">Mode:</w:t>
      </w:r>
      <w:r>
        <w:t xml:space="preserve"> </w:t>
      </w:r>
      <w:r>
        <w:t xml:space="preserve">Varies by component origin (e.g., Road freight from Europe to China, Sea freight from Asia to China).</w:t>
      </w:r>
    </w:p>
    <w:p>
      <w:pPr>
        <w:numPr>
          <w:ilvl w:val="1"/>
          <w:numId w:val="1004"/>
        </w:numPr>
        <w:pStyle w:val="Compact"/>
      </w:pPr>
      <w:r>
        <w:rPr>
          <w:bCs/>
          <w:b/>
        </w:rPr>
        <w:t xml:space="preserve">Illustrative Distance:</w:t>
      </w:r>
      <w:r>
        <w:t xml:space="preserve"> </w:t>
      </w:r>
      <w:r>
        <w:t xml:space="preserve">Averaged to 5000 km (e.g., for components from Europe to China).</w:t>
      </w:r>
    </w:p>
    <w:p>
      <w:pPr>
        <w:numPr>
          <w:ilvl w:val="0"/>
          <w:numId w:val="1003"/>
        </w:numPr>
        <w:pStyle w:val="Compact"/>
      </w:pPr>
      <w:r>
        <w:rPr>
          <w:bCs/>
          <w:b/>
        </w:rPr>
        <w:t xml:space="preserve">Downstream Transport (Distribution to Customer):</w:t>
      </w:r>
    </w:p>
    <w:p>
      <w:pPr>
        <w:numPr>
          <w:ilvl w:val="0"/>
          <w:numId w:val="1003"/>
        </w:numPr>
        <w:pStyle w:val="Compact"/>
      </w:pPr>
    </w:p>
    <w:p>
      <w:pPr>
        <w:numPr>
          <w:ilvl w:val="1"/>
          <w:numId w:val="1005"/>
        </w:numPr>
        <w:pStyle w:val="Compact"/>
      </w:pPr>
      <w:r>
        <w:rPr>
          <w:bCs/>
          <w:b/>
        </w:rPr>
        <w:t xml:space="preserve">Main Transport Mode:</w:t>
      </w:r>
      <w:r>
        <w:t xml:space="preserve"> </w:t>
      </w:r>
      <w:r>
        <w:t xml:space="preserve">Select Mode (Illustrative: Road freight - Heavy Duty Truck)</w:t>
      </w:r>
    </w:p>
    <w:p>
      <w:pPr>
        <w:numPr>
          <w:ilvl w:val="1"/>
          <w:numId w:val="1005"/>
        </w:numPr>
        <w:pStyle w:val="Compact"/>
      </w:pPr>
      <w:r>
        <w:rPr>
          <w:bCs/>
          <w:b/>
        </w:rPr>
        <w:t xml:space="preserve">Transport Distance:</w:t>
      </w:r>
      <w:r>
        <w:t xml:space="preserve"> </w:t>
      </w:r>
      <w:r>
        <w:t xml:space="preserve">hfwgwydsyk (Illustrative: 1500 km across Europe)</w:t>
      </w:r>
    </w:p>
    <w:p>
      <w:pPr>
        <w:numPr>
          <w:ilvl w:val="1"/>
          <w:numId w:val="1005"/>
        </w:numPr>
        <w:pStyle w:val="Compact"/>
      </w:pPr>
      <w:r>
        <w:rPr>
          <w:bCs/>
          <w:b/>
        </w:rPr>
        <w:t xml:space="preserve">Last-Mile Delivery Channel:</w:t>
      </w:r>
      <w:r>
        <w:t xml:space="preserve"> </w:t>
      </w:r>
      <w:r>
        <w:t xml:space="preserve">Delivery Type (Illustrative: Parcel service van)</w:t>
      </w:r>
    </w:p>
    <w:bookmarkEnd w:id="27"/>
    <w:bookmarkStart w:id="28" w:name="use-phase-downstream---scope-3"/>
    <w:p>
      <w:pPr>
        <w:pStyle w:val="Heading3"/>
      </w:pPr>
      <w:r>
        <w:t xml:space="preserve">2.4. Use Phase (Downstream - Scope 3)</w:t>
      </w:r>
    </w:p>
    <w:p>
      <w:pPr>
        <w:pStyle w:val="FirstParagraph"/>
      </w:pPr>
      <w:r>
        <w:t xml:space="preserve">The energy consumed during the product\'s operational life is a critical component of its footprint.</w:t>
      </w:r>
    </w:p>
    <w:p>
      <w:pPr>
        <w:numPr>
          <w:ilvl w:val="0"/>
          <w:numId w:val="1006"/>
        </w:numPr>
        <w:pStyle w:val="Compact"/>
      </w:pPr>
      <w:r>
        <w:rPr>
          <w:bCs/>
          <w:b/>
        </w:rPr>
        <w:t xml:space="preserve">Product Lifespan:</w:t>
      </w:r>
      <w:r>
        <w:t xml:space="preserve"> </w:t>
      </w:r>
      <w:r>
        <w:t xml:space="preserve">yyxwfsmlog (Illustrative: 5 years)</w:t>
      </w:r>
    </w:p>
    <w:p>
      <w:pPr>
        <w:numPr>
          <w:ilvl w:val="0"/>
          <w:numId w:val="1006"/>
        </w:numPr>
        <w:pStyle w:val="Compact"/>
      </w:pPr>
      <w:r>
        <w:rPr>
          <w:bCs/>
          <w:b/>
        </w:rPr>
        <w:t xml:space="preserve">Energy Consumption in Use:</w:t>
      </w:r>
      <w:r>
        <w:t xml:space="preserve"> </w:t>
      </w:r>
      <w:r>
        <w:t xml:space="preserve">dzpdguldso (Illustrative: 20 kWh/year)</w:t>
      </w:r>
    </w:p>
    <w:bookmarkEnd w:id="28"/>
    <w:bookmarkStart w:id="29" w:name="end-of-life-downstream---scope-3"/>
    <w:p>
      <w:pPr>
        <w:pStyle w:val="Heading3"/>
      </w:pPr>
      <w:r>
        <w:t xml:space="preserve">2.5. End-of-Life (Downstream - Scope 3)</w:t>
      </w:r>
    </w:p>
    <w:p>
      <w:pPr>
        <w:pStyle w:val="FirstParagraph"/>
      </w:pPr>
      <w:r>
        <w:t xml:space="preserve">The fate of the product at the end of its life impacts its overall footprint, considering recycling, disposal, and circular economy initiatives.</w:t>
      </w:r>
    </w:p>
    <w:p>
      <w:pPr>
        <w:numPr>
          <w:ilvl w:val="0"/>
          <w:numId w:val="1007"/>
        </w:numPr>
        <w:pStyle w:val="Compact"/>
      </w:pPr>
      <w:r>
        <w:rPr>
          <w:bCs/>
          <w:b/>
        </w:rPr>
        <w:t xml:space="preserve">Recyclability Percentage:</w:t>
      </w:r>
      <w:r>
        <w:t xml:space="preserve"> </w:t>
      </w:r>
      <w:r>
        <w:t xml:space="preserve">nliuytopvw (Illustrative: 80%)</w:t>
      </w:r>
    </w:p>
    <w:p>
      <w:pPr>
        <w:numPr>
          <w:ilvl w:val="0"/>
          <w:numId w:val="1007"/>
        </w:numPr>
        <w:pStyle w:val="Compact"/>
      </w:pPr>
      <w:r>
        <w:rPr>
          <w:bCs/>
          <w:b/>
        </w:rPr>
        <w:t xml:space="preserve">Circular/Take-back Programs:</w:t>
      </w:r>
      <w:r>
        <w:t xml:space="preserve"> </w:t>
      </w:r>
      <w:r>
        <w:t xml:space="preserve">juzziegvuy (Illustrative: Yes, comprehensive company-wide take-back scheme in Europe)</w:t>
      </w:r>
    </w:p>
    <w:p>
      <w:pPr>
        <w:numPr>
          <w:ilvl w:val="0"/>
          <w:numId w:val="1007"/>
        </w:numPr>
        <w:pStyle w:val="Compact"/>
      </w:pPr>
      <w:r>
        <w:rPr>
          <w:bCs/>
          <w:b/>
        </w:rPr>
        <w:t xml:space="preserve">Disposal Rate:</w:t>
      </w:r>
      <w:r>
        <w:t xml:space="preserve"> </w:t>
      </w:r>
      <w:r>
        <w:t xml:space="preserve">100% - nliuytopvw (Illustrative: 20% to landfill/incineration)</w:t>
      </w:r>
    </w:p>
    <w:p>
      <w:r>
        <w:pict>
          <v:rect style="width:0;height:1.5pt" o:hralign="center" o:hrstd="t" o:hr="t"/>
        </w:pict>
      </w:r>
    </w:p>
    <w:bookmarkEnd w:id="29"/>
    <w:bookmarkEnd w:id="30"/>
    <w:bookmarkStart w:id="38" w:name="calculate-emissions"/>
    <w:p>
      <w:pPr>
        <w:pStyle w:val="Heading2"/>
      </w:pPr>
      <w:r>
        <w:t xml:space="preserve">4. Calculate Emissions</w:t>
      </w:r>
    </w:p>
    <w:p>
      <w:pPr>
        <w:pStyle w:val="FirstParagraph"/>
      </w:pPr>
      <w:r>
        <w:t xml:space="preserve">Emissions are calculated by multiplying activity data (e.g., kg of material, kWh of energy, tkm of transport) by their corresponding emission factors (e.g., kgCO2e/kg, kgCO2e/kWh, kgCO2e/tkm). Emission factors are sourced from reputable databases like Ecoinvent and DEFRA, tailored to the geographic scope where possible. The total emissions are categorized according to the GHG Protocol scopes.</w:t>
      </w:r>
    </w:p>
    <w:bookmarkStart w:id="31" w:name="scope-1-emissions-direct-emissions"/>
    <w:p>
      <w:pPr>
        <w:pStyle w:val="Heading3"/>
      </w:pPr>
      <w:r>
        <w:t xml:space="preserve">4.1. Scope 1 Emissions (Direct Emissions)</w:t>
      </w:r>
    </w:p>
    <w:p>
      <w:pPr>
        <w:pStyle w:val="FirstParagraph"/>
      </w:pPr>
      <w:r>
        <w:t xml:space="preserve">Direct greenhouse gas emissions from sources owned or controlled by xfhjnpzjwg. For a factory_gate boundary and a typical electronics product, these are often minimal unless significant on-site combustion for manufacturing processes or company-owned vehicle fleets are involved in the direct production line. For this analysis, assuming typical modern manufacturing processes, Scope 1 emissions directly attributable to the product\'s manufacturing at the facility are considered negligible unless specific fossil fuel combustion for direct product processing is identified. If present, these would be calculated based on fuel consumption and emission factors.</w:t>
      </w:r>
    </w:p>
    <w:p>
      <w:pPr>
        <w:pStyle w:val="BodyText"/>
      </w:pPr>
      <w:r>
        <w:rPr>
          <w:bCs/>
          <w:b/>
        </w:rPr>
        <w:t xml:space="preserve">Illustrative Scope 1 (Direct Manufacturing Processes):</w:t>
      </w:r>
      <w:r>
        <w:t xml:space="preserve"> </w:t>
      </w:r>
      <w:r>
        <w:t xml:space="preserve">0.05 kgCO2e/unit (e.g., from small process heaters).</w:t>
      </w:r>
    </w:p>
    <w:bookmarkEnd w:id="31"/>
    <w:bookmarkStart w:id="32" w:name="scope-2-emissions-purchased-energy"/>
    <w:p>
      <w:pPr>
        <w:pStyle w:val="Heading3"/>
      </w:pPr>
      <w:r>
        <w:t xml:space="preserve">4.2. Scope 2 Emissions (Purchased Energy)</w:t>
      </w:r>
    </w:p>
    <w:p>
      <w:pPr>
        <w:pStyle w:val="FirstParagraph"/>
      </w:pPr>
      <w:r>
        <w:t xml:space="preserve">Indirect emissions from the generation of purchased electricity, heat, or steam consumed by xfhjnpzjwg\'s manufacturing facility in China.</w:t>
      </w:r>
    </w:p>
    <w:p>
      <w:pPr>
        <w:numPr>
          <w:ilvl w:val="0"/>
          <w:numId w:val="1008"/>
        </w:numPr>
        <w:pStyle w:val="Compact"/>
      </w:pPr>
      <w:r>
        <w:t xml:space="preserve">Total Energy Intensity: 1.5 kWh/unit</w:t>
      </w:r>
    </w:p>
    <w:p>
      <w:pPr>
        <w:numPr>
          <w:ilvl w:val="0"/>
          <w:numId w:val="1008"/>
        </w:numPr>
        <w:pStyle w:val="Compact"/>
      </w:pPr>
      <w:r>
        <w:t xml:space="preserve">Renewable Energy Usage: 75%</w:t>
      </w:r>
    </w:p>
    <w:p>
      <w:pPr>
        <w:numPr>
          <w:ilvl w:val="0"/>
          <w:numId w:val="1008"/>
        </w:numPr>
        <w:pStyle w:val="Compact"/>
      </w:pPr>
      <w:r>
        <w:t xml:space="preserve">Non-renewable Electricity: 1.5 kWh/unit * (1 - 0.75) = 0.375 kWh/unit</w:t>
      </w:r>
    </w:p>
    <w:p>
      <w:pPr>
        <w:numPr>
          <w:ilvl w:val="0"/>
          <w:numId w:val="1008"/>
        </w:numPr>
        <w:pStyle w:val="Compact"/>
      </w:pPr>
      <w:r>
        <w:t xml:space="preserve">Illustrative China Grid Emission Factor: 0.7 kgCO2e/kWh</w:t>
      </w:r>
    </w:p>
    <w:p>
      <w:pPr>
        <w:pStyle w:val="FirstParagraph"/>
      </w:pPr>
      <w:r>
        <w:rPr>
          <w:bCs/>
          <w:b/>
        </w:rPr>
        <w:t xml:space="preserve">Illustrative Scope 2 Calculation:</w:t>
      </w:r>
      <w:r>
        <w:t xml:space="preserve"> </w:t>
      </w:r>
      <w:r>
        <w:t xml:space="preserve">0.375 kWh/unit * 0.7 kgCO2e/kWh = 0.2625 kgCO2e/unit.</w:t>
      </w:r>
    </w:p>
    <w:bookmarkEnd w:id="32"/>
    <w:bookmarkStart w:id="35" w:name="scope-3-emissions-value-chain-emissions"/>
    <w:p>
      <w:pPr>
        <w:pStyle w:val="Heading3"/>
      </w:pPr>
      <w:r>
        <w:t xml:space="preserve">4.3. Scope 3 Emissions (Value Chain Emissions)</w:t>
      </w:r>
    </w:p>
    <w:p>
      <w:pPr>
        <w:pStyle w:val="FirstParagraph"/>
      </w:pPr>
      <w:r>
        <w:t xml:space="preserve">Indirect emissions that occur in the value chain of xfhjnpzjwg, both upstream and downstream. This category represents the largest portion of the product\'s carbon footprint for many manufactured goods and aims for 95% coverage as per 2026 requirements.</w:t>
      </w:r>
    </w:p>
    <w:bookmarkStart w:id="33" w:name="upstream-emissions-categories-1-8"/>
    <w:p>
      <w:pPr>
        <w:pStyle w:val="Heading4"/>
      </w:pPr>
      <w:r>
        <w:t xml:space="preserve">4.3.1. Upstream Emissions (Categories 1-8)</w:t>
      </w:r>
    </w:p>
    <w:p>
      <w:pPr>
        <w:numPr>
          <w:ilvl w:val="0"/>
          <w:numId w:val="1009"/>
        </w:numPr>
        <w:pStyle w:val="Compact"/>
      </w:pPr>
      <w:r>
        <w:rPr>
          <w:bCs/>
          <w:b/>
        </w:rPr>
        <w:t xml:space="preserve">Category 1: Purchased Goods and Services (Materials):</w:t>
      </w:r>
    </w:p>
    <w:p>
      <w:pPr>
        <w:numPr>
          <w:ilvl w:val="0"/>
          <w:numId w:val="1009"/>
        </w:numPr>
        <w:pStyle w:val="Compact"/>
      </w:pPr>
    </w:p>
    <w:p>
      <w:pPr>
        <w:numPr>
          <w:ilvl w:val="1"/>
          <w:numId w:val="1010"/>
        </w:numPr>
        <w:pStyle w:val="Compact"/>
      </w:pPr>
      <w:r>
        <w:t xml:space="preserve">Sum of \'Total Carbon\' from Illustrative BOM: 3.5 + 0.45 + 1.5 + 1.0 + 0.1 = 6.55 kgCO2e/unit.</w:t>
      </w:r>
    </w:p>
    <w:p>
      <w:pPr>
        <w:numPr>
          <w:ilvl w:val="0"/>
          <w:numId w:val="1009"/>
        </w:numPr>
        <w:pStyle w:val="Compact"/>
      </w:pPr>
      <w:r>
        <w:rPr>
          <w:bCs/>
          <w:b/>
        </w:rPr>
        <w:t xml:space="preserve">Category 4: Upstream Transportation and Distribution:</w:t>
      </w:r>
    </w:p>
    <w:p>
      <w:pPr>
        <w:numPr>
          <w:ilvl w:val="0"/>
          <w:numId w:val="1009"/>
        </w:numPr>
        <w:pStyle w:val="Compact"/>
      </w:pPr>
    </w:p>
    <w:p>
      <w:pPr>
        <w:numPr>
          <w:ilvl w:val="1"/>
          <w:numId w:val="1011"/>
        </w:numPr>
        <w:pStyle w:val="Compact"/>
      </w:pPr>
      <w:r>
        <w:t xml:space="preserve">Illustrative Total Weight of BOM Materials: 1.05 kg</w:t>
      </w:r>
    </w:p>
    <w:p>
      <w:pPr>
        <w:numPr>
          <w:ilvl w:val="1"/>
          <w:numId w:val="1011"/>
        </w:numPr>
        <w:pStyle w:val="Compact"/>
      </w:pPr>
      <w:r>
        <w:t xml:space="preserve">Illustrative Upstream Transport (average component, simplified): 1.05 kg * 5000 km * 0.01 kgCO2e/tkm = 52.5 kgCO2e/unit.</w:t>
      </w:r>
    </w:p>
    <w:p>
      <w:pPr>
        <w:pStyle w:val="FirstParagraph"/>
      </w:pPr>
      <w:r>
        <w:rPr>
          <w:bCs/>
          <w:b/>
        </w:rPr>
        <w:t xml:space="preserve">Illustrative Total Upstream Emissions:</w:t>
      </w:r>
      <w:r>
        <w:t xml:space="preserve"> </w:t>
      </w:r>
      <w:r>
        <w:t xml:space="preserve">6.55 kgCO2e (Materials) + 52.5 kgCO2e (Upstream Transport) = 59.05 kgCO2e/unit.</w:t>
      </w:r>
    </w:p>
    <w:bookmarkEnd w:id="33"/>
    <w:bookmarkStart w:id="34" w:name="downstream-emissions-categories-9-15"/>
    <w:p>
      <w:pPr>
        <w:pStyle w:val="Heading4"/>
      </w:pPr>
      <w:r>
        <w:t xml:space="preserve">4.3.2. Downstream Emissions (Categories 9-15)</w:t>
      </w:r>
    </w:p>
    <w:p>
      <w:pPr>
        <w:numPr>
          <w:ilvl w:val="0"/>
          <w:numId w:val="1012"/>
        </w:numPr>
        <w:pStyle w:val="Compact"/>
      </w:pPr>
      <w:r>
        <w:rPr>
          <w:bCs/>
          <w:b/>
        </w:rPr>
        <w:t xml:space="preserve">Category 9: Downstream Transportation and Distribution:</w:t>
      </w:r>
    </w:p>
    <w:p>
      <w:pPr>
        <w:numPr>
          <w:ilvl w:val="0"/>
          <w:numId w:val="1012"/>
        </w:numPr>
        <w:pStyle w:val="Compact"/>
      </w:pPr>
    </w:p>
    <w:p>
      <w:pPr>
        <w:numPr>
          <w:ilvl w:val="1"/>
          <w:numId w:val="1013"/>
        </w:numPr>
        <w:pStyle w:val="Compact"/>
      </w:pPr>
      <w:r>
        <w:t xml:space="preserve">Product Weight: Let\'s assume the finished product weighs 1.2 kg (product + packaging).</w:t>
      </w:r>
    </w:p>
    <w:p>
      <w:pPr>
        <w:numPr>
          <w:ilvl w:val="1"/>
          <w:numId w:val="1013"/>
        </w:numPr>
        <w:pStyle w:val="Compact"/>
      </w:pPr>
      <w:r>
        <w:t xml:space="preserve">Main Transport (Road freight - Heavy Duty Truck, 1500 km, Europe average EF: 0.09 kgCO2e/tkm): 1.2 kg * 1500 km * 0.09 kgCO2e/tkm = 162 kgCO2e/unit.</w:t>
      </w:r>
    </w:p>
    <w:p>
      <w:pPr>
        <w:numPr>
          <w:ilvl w:val="1"/>
          <w:numId w:val="1013"/>
        </w:numPr>
        <w:pStyle w:val="Compact"/>
      </w:pPr>
      <w:r>
        <w:t xml:space="preserve">Last-Mile Delivery (Parcel service van, 100 km, Europe average EF: 0.2 kgCO2e/tkm): 1.2 kg * 100 km * 0.2 kgCO2e/tkm = 24 kgCO2e/unit.</w:t>
      </w:r>
    </w:p>
    <w:p>
      <w:pPr>
        <w:numPr>
          <w:ilvl w:val="0"/>
          <w:numId w:val="1012"/>
        </w:numPr>
        <w:pStyle w:val="Compact"/>
      </w:pPr>
      <w:r>
        <w:rPr>
          <w:bCs/>
          <w:b/>
        </w:rPr>
        <w:t xml:space="preserve">Category 11: Use of Sold Products:</w:t>
      </w:r>
    </w:p>
    <w:p>
      <w:pPr>
        <w:numPr>
          <w:ilvl w:val="0"/>
          <w:numId w:val="1012"/>
        </w:numPr>
        <w:pStyle w:val="Compact"/>
      </w:pPr>
    </w:p>
    <w:p>
      <w:pPr>
        <w:numPr>
          <w:ilvl w:val="1"/>
          <w:numId w:val="1014"/>
        </w:numPr>
        <w:pStyle w:val="Compact"/>
      </w:pPr>
      <w:r>
        <w:t xml:space="preserve">Energy Consumption in Use: 20 kWh/year</w:t>
      </w:r>
    </w:p>
    <w:p>
      <w:pPr>
        <w:numPr>
          <w:ilvl w:val="1"/>
          <w:numId w:val="1014"/>
        </w:numPr>
        <w:pStyle w:val="Compact"/>
      </w:pPr>
      <w:r>
        <w:t xml:space="preserve">Product Lifespan: 5 years</w:t>
      </w:r>
    </w:p>
    <w:p>
      <w:pPr>
        <w:numPr>
          <w:ilvl w:val="1"/>
          <w:numId w:val="1014"/>
        </w:numPr>
        <w:pStyle w:val="Compact"/>
      </w:pPr>
      <w:r>
        <w:t xml:space="preserve">Total Use Phase Energy: 100 kWh</w:t>
      </w:r>
    </w:p>
    <w:p>
      <w:pPr>
        <w:numPr>
          <w:ilvl w:val="1"/>
          <w:numId w:val="1014"/>
        </w:numPr>
        <w:pStyle w:val="Compact"/>
      </w:pPr>
      <w:r>
        <w:t xml:space="preserve">Illustrative Europe Average Grid Emission Factor (for user electricity): 0.25 kgCO2e/kWh</w:t>
      </w:r>
    </w:p>
    <w:p>
      <w:pPr>
        <w:numPr>
          <w:ilvl w:val="1"/>
          <w:numId w:val="1014"/>
        </w:numPr>
        <w:pStyle w:val="Compact"/>
      </w:pPr>
      <w:r>
        <w:t xml:space="preserve">Calculation: 100 kWh * 0.25 kgCO2e/kWh = 25 kgCO2e/unit.</w:t>
      </w:r>
    </w:p>
    <w:p>
      <w:pPr>
        <w:numPr>
          <w:ilvl w:val="0"/>
          <w:numId w:val="1012"/>
        </w:numPr>
        <w:pStyle w:val="Compact"/>
      </w:pPr>
      <w:r>
        <w:rPr>
          <w:bCs/>
          <w:b/>
        </w:rPr>
        <w:t xml:space="preserve">Category 12: End-of-Life Treatment of Sold Products:</w:t>
      </w:r>
    </w:p>
    <w:p>
      <w:pPr>
        <w:numPr>
          <w:ilvl w:val="0"/>
          <w:numId w:val="1012"/>
        </w:numPr>
        <w:pStyle w:val="Compact"/>
      </w:pPr>
    </w:p>
    <w:p>
      <w:pPr>
        <w:numPr>
          <w:ilvl w:val="1"/>
          <w:numId w:val="1015"/>
        </w:numPr>
        <w:pStyle w:val="Compact"/>
      </w:pPr>
      <w:r>
        <w:t xml:space="preserve">Product Weight: 1.2 kg</w:t>
      </w:r>
    </w:p>
    <w:p>
      <w:pPr>
        <w:numPr>
          <w:ilvl w:val="1"/>
          <w:numId w:val="1015"/>
        </w:numPr>
        <w:pStyle w:val="Compact"/>
      </w:pPr>
      <w:r>
        <w:t xml:space="preserve">Recyclability Percentage: 80%</w:t>
      </w:r>
    </w:p>
    <w:p>
      <w:pPr>
        <w:numPr>
          <w:ilvl w:val="1"/>
          <w:numId w:val="1015"/>
        </w:numPr>
        <w:pStyle w:val="Compact"/>
      </w:pPr>
      <w:r>
        <w:t xml:space="preserve">Disposal Portion: 20% of 1.2 kg = 0.24 kg</w:t>
      </w:r>
    </w:p>
    <w:p>
      <w:pPr>
        <w:numPr>
          <w:ilvl w:val="1"/>
          <w:numId w:val="1015"/>
        </w:numPr>
        <w:pStyle w:val="Compact"/>
      </w:pPr>
      <w:r>
        <w:t xml:space="preserve">Illustrative Landfill/Incineration Emission Factor (for mixed waste): 1.5 kgCO2e/kg</w:t>
      </w:r>
    </w:p>
    <w:p>
      <w:pPr>
        <w:numPr>
          <w:ilvl w:val="1"/>
          <w:numId w:val="1015"/>
        </w:numPr>
        <w:pStyle w:val="Compact"/>
      </w:pPr>
      <w:r>
        <w:t xml:space="preserve">Emissions from Disposal: 0.24 kg * 1.5 kgCO2e/kg = 0.36 kgCO2e/unit.</w:t>
      </w:r>
    </w:p>
    <w:p>
      <w:pPr>
        <w:pStyle w:val="FirstParagraph"/>
      </w:pPr>
      <w:r>
        <w:rPr>
          <w:bCs/>
          <w:b/>
        </w:rPr>
        <w:t xml:space="preserve">Illustrative Total Downstream Emissions:</w:t>
      </w:r>
      <w:r>
        <w:t xml:space="preserve"> </w:t>
      </w:r>
      <w:r>
        <w:t xml:space="preserve">162 + 24 + 25 + 0.36 = 211.36 kgCO2e/unit.</w:t>
      </w:r>
    </w:p>
    <w:bookmarkEnd w:id="34"/>
    <w:bookmarkEnd w:id="35"/>
    <w:bookmarkStart w:id="36" w:name="X4445851c14d44f9a23021f1d53388bca2c4dd3d"/>
    <w:p>
      <w:pPr>
        <w:pStyle w:val="Heading3"/>
      </w:pPr>
      <w:r>
        <w:t xml:space="preserve">4.4. Land Sector and Removals (LSR) Standard (2026 Update)</w:t>
      </w:r>
    </w:p>
    <w:p>
      <w:pPr>
        <w:pStyle w:val="FirstParagraph"/>
      </w:pPr>
      <w:r>
        <w:t xml:space="preserve">The 2026 LSR Standard requires accounting for greenhouse gas fluxes from land use and land use change, including biogenic carbon removals and emissions. For ltefhxxljg, this would primarily involve:</w:t>
      </w:r>
    </w:p>
    <w:p>
      <w:pPr>
        <w:numPr>
          <w:ilvl w:val="0"/>
          <w:numId w:val="1016"/>
        </w:numPr>
        <w:pStyle w:val="Compact"/>
      </w:pPr>
      <w:r>
        <w:t xml:space="preserve">Emissions or removals associated with raw material production (e.g., deforestation for timber, land-use change for agricultural inputs, biogenic carbon stored in packaging materials if from sustainable forestry).</w:t>
      </w:r>
    </w:p>
    <w:p>
      <w:pPr>
        <w:numPr>
          <w:ilvl w:val="0"/>
          <w:numId w:val="1016"/>
        </w:numPr>
        <w:pStyle w:val="Compact"/>
      </w:pPr>
      <w:r>
        <w:t xml:space="preserve">Carbon removals through carbon capture technologies or nature-based solutions implemented within the product\'s value chain.</w:t>
      </w:r>
    </w:p>
    <w:p>
      <w:pPr>
        <w:pStyle w:val="FirstParagraph"/>
      </w:pPr>
      <w:r>
        <w:t xml:space="preserve">Without specific land-use data related to the raw materials (e.g., origin of wood pulp for packaging, mining practices), precise quantification under LSR is not possible in this illustrative report. However, the framework ensures these impacts are systematically considered in a full assessment.</w:t>
      </w:r>
    </w:p>
    <w:bookmarkEnd w:id="36"/>
    <w:bookmarkStart w:id="37" w:name="X6cb5e98fc5f672b90609cb3addd66567976155f"/>
    <w:p>
      <w:pPr>
        <w:pStyle w:val="Heading3"/>
      </w:pPr>
      <w:r>
        <w:t xml:space="preserve">4.5. Total Product Carbon Footprint (Illustrative Summary)</w:t>
      </w:r>
    </w:p>
    <w:p>
      <w:pPr>
        <w:pStyle w:val="FirstParagraph"/>
      </w:pPr>
      <w:r>
        <w:t xml:space="preserve">Based on the illustrative calculations, the estimated Product Carbon Footprint for one unit of ltefhxxljg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Manufacturing (On-site processes)</w:t>
            </w:r>
          </w:p>
        </w:tc>
        <w:tc>
          <w:tcPr/>
          <w:p>
            <w:pPr>
              <w:pStyle w:val="Compact"/>
              <w:jc w:val="left"/>
            </w:pPr>
            <w:r>
              <w:t xml:space="preserve">0.05</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0.26</w:t>
            </w:r>
          </w:p>
        </w:tc>
      </w:tr>
      <w:tr>
        <w:tc>
          <w:tcPr>
            <w:vMerge w:val="restart"/>
          </w:tcPr>
          <w:p>
            <w:pPr>
              <w:pStyle w:val="Compact"/>
              <w:jc w:val="left"/>
            </w:pPr>
            <w:r>
              <w:t xml:space="preserve">Scope 3</w:t>
            </w:r>
          </w:p>
        </w:tc>
        <w:tc>
          <w:tcPr/>
          <w:p>
            <w:pPr>
              <w:pStyle w:val="Compact"/>
              <w:jc w:val="left"/>
            </w:pPr>
            <w:r>
              <w:t xml:space="preserve">Upstream: Materials (Category 1)</w:t>
            </w:r>
          </w:p>
        </w:tc>
        <w:tc>
          <w:tcPr/>
          <w:p>
            <w:pPr>
              <w:pStyle w:val="Compact"/>
              <w:jc w:val="left"/>
            </w:pPr>
            <w:r>
              <w:t xml:space="preserve">6.55</w:t>
            </w:r>
          </w:p>
        </w:tc>
      </w:tr>
      <w:tr>
        <w:tc>
          <w:tcPr>
            <w:gridSpan w:val="1"/>
            <w:vMerge w:val="continue"/>
          </w:tcPr>
          <w:p>
            <w:pPr/>
          </w:p>
        </w:tc>
        <w:tc>
          <w:tcPr/>
          <w:p>
            <w:pPr>
              <w:pStyle w:val="Compact"/>
              <w:jc w:val="left"/>
            </w:pPr>
            <w:r>
              <w:t xml:space="preserve">Upstream: Transportation (Category 4)</w:t>
            </w:r>
          </w:p>
        </w:tc>
        <w:tc>
          <w:tcPr/>
          <w:p>
            <w:pPr>
              <w:pStyle w:val="Compact"/>
              <w:jc w:val="left"/>
            </w:pPr>
            <w:r>
              <w:t xml:space="preserve">52.50</w:t>
            </w:r>
          </w:p>
        </w:tc>
      </w:tr>
      <w:tr>
        <w:tc>
          <w:tcPr>
            <w:gridSpan w:val="1"/>
            <w:vMerge w:val="continue"/>
          </w:tcPr>
          <w:p>
            <w:pPr/>
          </w:p>
        </w:tc>
        <w:tc>
          <w:tcPr/>
          <w:p>
            <w:pPr>
              <w:pStyle w:val="Compact"/>
              <w:jc w:val="left"/>
            </w:pPr>
            <w:r>
              <w:t xml:space="preserve">Downstream: Transportation &amp; Distribution (Category 9)</w:t>
            </w:r>
          </w:p>
        </w:tc>
        <w:tc>
          <w:tcPr/>
          <w:p>
            <w:pPr>
              <w:pStyle w:val="Compact"/>
              <w:jc w:val="left"/>
            </w:pPr>
            <w:r>
              <w:t xml:space="preserve">186.00</w:t>
            </w:r>
          </w:p>
        </w:tc>
      </w:tr>
      <w:tr>
        <w:tc>
          <w:tcPr>
            <w:gridSpan w:val="1"/>
            <w:vMerge w:val="continue"/>
          </w:tcPr>
          <w:p>
            <w:pPr/>
          </w:p>
        </w:tc>
        <w:tc>
          <w:tcPr/>
          <w:p>
            <w:pPr>
              <w:pStyle w:val="Compact"/>
              <w:jc w:val="left"/>
            </w:pPr>
            <w:r>
              <w:t xml:space="preserve">Downstream: Use Phase (Category 11)</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Downstream: End-of-Life (Category 12)</w:t>
            </w:r>
          </w:p>
        </w:tc>
        <w:tc>
          <w:tcPr/>
          <w:p>
            <w:pPr>
              <w:pStyle w:val="Compact"/>
              <w:jc w:val="left"/>
            </w:pPr>
            <w:r>
              <w:t xml:space="preserve">0.36</w:t>
            </w:r>
          </w:p>
        </w:tc>
      </w:tr>
      <w:tr>
        <w:tc>
          <w:tcPr>
            <w:gridSpan w:val="2"/>
          </w:tcPr>
          <w:p>
            <w:pPr>
              <w:pStyle w:val="Compact"/>
              <w:jc w:val="left"/>
            </w:pPr>
            <w:r>
              <w:t xml:space="preserve">TOTAL PCF (Illustrative)</w:t>
            </w:r>
          </w:p>
        </w:tc>
        <w:tc>
          <w:tcPr/>
          <w:p>
            <w:pPr>
              <w:pStyle w:val="Compact"/>
              <w:jc w:val="left"/>
            </w:pPr>
            <w:r>
              <w:t xml:space="preserve">270.72 kgCO2e/unit</w:t>
            </w:r>
          </w:p>
        </w:tc>
      </w:tr>
    </w:tbl>
    <w:p>
      <w:pPr>
        <w:pStyle w:val="BodyText"/>
      </w:pPr>
      <w:r>
        <w:rPr>
          <w:iCs/>
          <w:i/>
        </w:rPr>
        <w:t xml:space="preserve">Note: Values are rounded. Actual calculations would maintain higher precision.</w:t>
      </w:r>
    </w:p>
    <w:p>
      <w:r>
        <w:pict>
          <v:rect style="width:0;height:1.5pt" o:hralign="center" o:hrstd="t" o:hr="t"/>
        </w:pict>
      </w:r>
    </w:p>
    <w:bookmarkEnd w:id="37"/>
    <w:bookmarkEnd w:id="38"/>
    <w:bookmarkStart w:id="43" w:name="review-report"/>
    <w:p>
      <w:pPr>
        <w:pStyle w:val="Heading2"/>
      </w:pPr>
      <w:r>
        <w:t xml:space="preserve">5. Review &amp; Report</w:t>
      </w:r>
    </w:p>
    <w:bookmarkStart w:id="39" w:name="hotspot-analysis"/>
    <w:p>
      <w:pPr>
        <w:pStyle w:val="Heading3"/>
      </w:pPr>
      <w:r>
        <w:t xml:space="preserve">5.1. Hotspot Analysis</w:t>
      </w:r>
    </w:p>
    <w:p>
      <w:pPr>
        <w:pStyle w:val="FirstParagraph"/>
      </w:pPr>
      <w:r>
        <w:t xml:space="preserve">Based on the illustrative calculations, the primary emission hotspots for ltefhxxljg are:</w:t>
      </w:r>
    </w:p>
    <w:p>
      <w:pPr>
        <w:numPr>
          <w:ilvl w:val="0"/>
          <w:numId w:val="1017"/>
        </w:numPr>
        <w:pStyle w:val="Compact"/>
      </w:pPr>
      <w:r>
        <w:rPr>
          <w:bCs/>
          <w:b/>
        </w:rPr>
        <w:t xml:space="preserve">Downstream Transportation (Category 9):</w:t>
      </w:r>
      <w:r>
        <w:t xml:space="preserve"> </w:t>
      </w:r>
      <w:r>
        <w:t xml:space="preserve">Represents a significant portion, largely due to product distribution across Europe. Optimization of logistics, route planning, and shifting to lower-emission transport modes (e.g., rail or electric vehicles) could yield substantial reductions.</w:t>
      </w:r>
    </w:p>
    <w:p>
      <w:pPr>
        <w:numPr>
          <w:ilvl w:val="0"/>
          <w:numId w:val="1017"/>
        </w:numPr>
        <w:pStyle w:val="Compact"/>
      </w:pPr>
      <w:r>
        <w:rPr>
          <w:bCs/>
          <w:b/>
        </w:rPr>
        <w:t xml:space="preserve">Upstream Transportation (Category 4):</w:t>
      </w:r>
      <w:r>
        <w:t xml:space="preserve"> </w:t>
      </w:r>
      <w:r>
        <w:t xml:space="preserve">Long-distance transport of components, especially from Europe to the China manufacturing facility, contributes significantly. Localizing supply chains or optimizing freight methods (e.g., sea freight over air freight) are key leverage points.</w:t>
      </w:r>
    </w:p>
    <w:p>
      <w:pPr>
        <w:numPr>
          <w:ilvl w:val="0"/>
          <w:numId w:val="1017"/>
        </w:numPr>
        <w:pStyle w:val="Compact"/>
      </w:pPr>
      <w:r>
        <w:rPr>
          <w:bCs/>
          <w:b/>
        </w:rPr>
        <w:t xml:space="preserve">Purchased Goods and Services (Category 1 - Materials):</w:t>
      </w:r>
      <w:r>
        <w:t xml:space="preserve"> </w:t>
      </w:r>
      <w:r>
        <w:t xml:space="preserve">The embedded emissions in raw materials, particularly aluminum and complex electronic components, are substantial. Shifting to recycled content, materials with lower intrinsic emission factors, and engaging suppliers on their decarbonization efforts are crucial.</w:t>
      </w:r>
    </w:p>
    <w:p>
      <w:pPr>
        <w:numPr>
          <w:ilvl w:val="0"/>
          <w:numId w:val="1017"/>
        </w:numPr>
        <w:pStyle w:val="Compact"/>
      </w:pPr>
      <w:r>
        <w:rPr>
          <w:bCs/>
          <w:b/>
        </w:rPr>
        <w:t xml:space="preserve">Use Phase (Category 11):</w:t>
      </w:r>
      <w:r>
        <w:t xml:space="preserve"> </w:t>
      </w:r>
      <w:r>
        <w:t xml:space="preserve">Energy consumption during the product\'s lifespan is another notable hotspot, emphasizing the importance of energy-efficient design.</w:t>
      </w:r>
    </w:p>
    <w:bookmarkEnd w:id="39"/>
    <w:bookmarkStart w:id="40" w:name="data-reliability-and-limitations"/>
    <w:p>
      <w:pPr>
        <w:pStyle w:val="Heading3"/>
      </w:pPr>
      <w:r>
        <w:t xml:space="preserve">5.2. Data Reliability and Limitations</w:t>
      </w:r>
    </w:p>
    <w:p>
      <w:pPr>
        <w:pStyle w:val="FirstParagraph"/>
      </w:pPr>
      <w:r>
        <w:t xml:space="preserve">This report relies on a combination of specific product data (BOM structure, energy intensity, lifespan, recyclability) and industry-average emission factors for various processes and transport modes. While the GHG Protocol provides a robust framework, the accuracy of the PCF is directly dependent on the granularity and quality of the underlying activity data. Where specific data was not provided (indicated by placeholders), illustrative figures and industry averages were used. A full assessment would necessitate primary data collection for all significant emission sources and accurate, region-specific emission factors.</w:t>
      </w:r>
    </w:p>
    <w:bookmarkEnd w:id="40"/>
    <w:bookmarkStart w:id="41" w:name="scope-3-compliance-2026-requirements"/>
    <w:p>
      <w:pPr>
        <w:pStyle w:val="Heading3"/>
      </w:pPr>
      <w:r>
        <w:t xml:space="preserve">5.3. Scope 3 Compliance (2026 Requirements)</w:t>
      </w:r>
    </w:p>
    <w:p>
      <w:pPr>
        <w:pStyle w:val="FirstParagraph"/>
      </w:pPr>
      <w:r>
        <w:t xml:space="preserve">The analysis aims for at least 95% coverage for Scope 3 reporting, as mandated by 2026 GHG Protocol requirements. By systematically including all major upstream and downstream categories, this report provides a comprehensive foundation. Continual data collection and engagement with supply chain partners will be essential to ensure the highest possible coverage and accuracy.</w:t>
      </w:r>
    </w:p>
    <w:bookmarkEnd w:id="41"/>
    <w:bookmarkStart w:id="42" w:name="recommendations-for-reduction"/>
    <w:p>
      <w:pPr>
        <w:pStyle w:val="Heading3"/>
      </w:pPr>
      <w:r>
        <w:t xml:space="preserve">5.4. Recommendations for Reduction</w:t>
      </w:r>
    </w:p>
    <w:p>
      <w:pPr>
        <w:numPr>
          <w:ilvl w:val="0"/>
          <w:numId w:val="1018"/>
        </w:numPr>
        <w:pStyle w:val="Compact"/>
      </w:pPr>
      <w:r>
        <w:rPr>
          <w:bCs/>
          <w:b/>
        </w:rPr>
        <w:t xml:space="preserve">Material Circularity:</w:t>
      </w:r>
      <w:r>
        <w:t xml:space="preserve"> </w:t>
      </w:r>
      <w:r>
        <w:t xml:space="preserve">Increase the percentage of recycled content in materials like plastics and metals. Investigate opportunities for closed-loop recycling systems and explore alternative, lower-impact materials.</w:t>
      </w:r>
    </w:p>
    <w:p>
      <w:pPr>
        <w:numPr>
          <w:ilvl w:val="0"/>
          <w:numId w:val="1018"/>
        </w:numPr>
        <w:pStyle w:val="Compact"/>
      </w:pPr>
      <w:r>
        <w:rPr>
          <w:bCs/>
          <w:b/>
        </w:rPr>
        <w:t xml:space="preserve">Supply Chain Optimization:</w:t>
      </w:r>
      <w:r>
        <w:t xml:space="preserve"> </w:t>
      </w:r>
      <w:r>
        <w:t xml:space="preserve">Collaborate with suppliers to understand and reduce their emissions, focusing on upstream material production and component manufacturing. Explore opportunities for localizing supply chains where feasible to reduce transport distances.</w:t>
      </w:r>
    </w:p>
    <w:p>
      <w:pPr>
        <w:numPr>
          <w:ilvl w:val="0"/>
          <w:numId w:val="1018"/>
        </w:numPr>
        <w:pStyle w:val="Compact"/>
      </w:pPr>
      <w:r>
        <w:rPr>
          <w:bCs/>
          <w:b/>
        </w:rPr>
        <w:t xml:space="preserve">Logistics Efficiency:</w:t>
      </w:r>
      <w:r>
        <w:t xml:space="preserve"> </w:t>
      </w:r>
      <w:r>
        <w:t xml:space="preserve">Optimize freight routes, consolidate shipments, and prioritize lower-emission transport modes (e.g., rail, sea freight, electric vehicles for last-mile delivery) for both inbound and outbound logistics.</w:t>
      </w:r>
    </w:p>
    <w:p>
      <w:pPr>
        <w:numPr>
          <w:ilvl w:val="0"/>
          <w:numId w:val="1018"/>
        </w:numPr>
        <w:pStyle w:val="Compact"/>
      </w:pPr>
      <w:r>
        <w:rPr>
          <w:bCs/>
          <w:b/>
        </w:rPr>
        <w:t xml:space="preserve">Energy Efficiency in Use:</w:t>
      </w:r>
      <w:r>
        <w:t xml:space="preserve"> </w:t>
      </w:r>
      <w:r>
        <w:t xml:space="preserve">Continue to innovate in product design to minimize energy consumption during the use phase, extending product lifespan, and promoting repairability.</w:t>
      </w:r>
    </w:p>
    <w:p>
      <w:pPr>
        <w:numPr>
          <w:ilvl w:val="0"/>
          <w:numId w:val="1018"/>
        </w:numPr>
        <w:pStyle w:val="Compact"/>
      </w:pPr>
      <w:r>
        <w:rPr>
          <w:bCs/>
          <w:b/>
        </w:rPr>
        <w:t xml:space="preserve">Renewable Energy Adoption:</w:t>
      </w:r>
      <w:r>
        <w:t xml:space="preserve"> </w:t>
      </w:r>
      <w:r>
        <w:t xml:space="preserve">Encourage and support the use of renewable energy sources throughout the supply chain, particularly in manufacturing facilities and for key suppliers.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ltefhxxljg</dc:title>
  <dc:creator/>
  <dc:description>Product Carbon Footprint (PCF) analysis report for ltefhxxljg, prepared by Senior Sustainability Consultant wwpdhjgxev for xfhjnpzjwg, adhering to GHG Protocol standards and 2026 LSR Update.</dc:description>
  <dc:language>en</dc:language>
  <cp:keywords/>
  <dcterms:created xsi:type="dcterms:W3CDTF">2026-07-15T02:55:16Z</dcterms:created>
  <dcterms:modified xsi:type="dcterms:W3CDTF">2026-07-15T02:55:16Z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