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lsmxqmjvle</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lsmxqmjvle"/>
    <w:p>
      <w:pPr>
        <w:pStyle w:val="Heading2"/>
      </w:pPr>
      <w:r>
        <w:t xml:space="preserve">Product: lsmxqmjvle</w:t>
      </w:r>
    </w:p>
    <w:p>
      <w:pPr>
        <w:pStyle w:val="FirstParagraph"/>
      </w:pPr>
      <w:r>
        <w:rPr>
          <w:bCs/>
          <w:b/>
        </w:rPr>
        <w:t xml:space="preserve">Company Name:</w:t>
      </w:r>
      <w:r>
        <w:t xml:space="preserve"> </w:t>
      </w:r>
      <w:r>
        <w:t xml:space="preserve">zturiflxrq</w:t>
      </w:r>
    </w:p>
    <w:p>
      <w:pPr>
        <w:pStyle w:val="BodyText"/>
      </w:pPr>
      <w:r>
        <w:rPr>
          <w:bCs/>
          <w:b/>
        </w:rPr>
        <w:t xml:space="preserve">Senior Sustainability Consultant:</w:t>
      </w:r>
      <w:r>
        <w:t xml:space="preserve"> </w:t>
      </w:r>
      <w:r>
        <w:t xml:space="preserve">idzhduvjgh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w:t>
      </w:r>
      <w:r>
        <w:t xml:space="preserve"> </w:t>
      </w:r>
      <w:r>
        <w:t xml:space="preserve">actual emissions may vary based on real-world conditions and data granularity.</w:t>
      </w:r>
    </w:p>
    <w:bookmarkEnd w:id="20"/>
    <w:bookmarkEnd w:id="21"/>
    <w:bookmarkStart w:id="22" w:name="X06750a514c2c11f1f820c9534981ca46e0af637"/>
    <w:p>
      <w:pPr>
        <w:pStyle w:val="Heading1"/>
      </w:pPr>
      <w:r>
        <w:t xml:space="preserve">Product Carbon Footprint Analysis for lsmxqmjvle</w:t>
      </w:r>
    </w:p>
    <w:p>
      <w:pPr>
        <w:pStyle w:val="FirstParagraph"/>
      </w:pPr>
      <w:r>
        <w:t xml:space="preserve">Generated Date: June 1,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lsmxqmjvle</w:t>
      </w:r>
      <w:r>
        <w:t xml:space="preserve">,</w:t>
      </w:r>
      <w:r>
        <w:t xml:space="preserve"> </w:t>
      </w:r>
      <w:r>
        <w:t xml:space="preserve">manufactured by</w:t>
      </w:r>
      <w:r>
        <w:t xml:space="preserve"> </w:t>
      </w:r>
      <w:r>
        <w:rPr>
          <w:bCs/>
          <w:b/>
        </w:rPr>
        <w:t xml:space="preserve">zturiflxrq</w:t>
      </w:r>
      <w:r>
        <w:t xml:space="preserve">. Conducted by Senior Sustainability Consultant</w:t>
      </w:r>
      <w:r>
        <w:t xml:space="preserve"> </w:t>
      </w:r>
      <w:r>
        <w:rPr>
          <w:bCs/>
          <w:b/>
        </w:rPr>
        <w:t xml:space="preserve">idzhduvjgh</w:t>
      </w:r>
      <w:r>
        <w:t xml:space="preserve">,</w:t>
      </w:r>
      <w:r>
        <w:t xml:space="preserve"> </w:t>
      </w:r>
      <w:r>
        <w:t xml:space="preserve">this analysis strictly adheres to the GHG Protocol and incorporates the latest 2026 Land Sector and Removals (LSR) Standard updates.</w:t>
      </w:r>
      <w:r>
        <w:t xml:space="preserve"> </w:t>
      </w:r>
      <w:r>
        <w:t xml:space="preserve">The PCF quantifies greenhouse gas (GHG) emissions across the product\'s lifecycle,</w:t>
      </w:r>
      <w:r>
        <w:t xml:space="preserve"> </w:t>
      </w:r>
      <w:r>
        <w:t xml:space="preserve">from raw material acquisition to end-of-life, providing critical insights into environmental performance and identifying key hotspots for reduction efforts.</w:t>
      </w:r>
    </w:p>
    <w:p>
      <w:r>
        <w:pict>
          <v:rect style="width:0;height:1.5pt" o:hralign="center" o:hrstd="t" o:hr="t"/>
        </w:pict>
      </w:r>
    </w:p>
    <w:bookmarkEnd w:id="23"/>
    <w:bookmarkStart w:id="28" w:name="defining-the-scope"/>
    <w:p>
      <w:pPr>
        <w:pStyle w:val="Heading2"/>
      </w:pPr>
      <w:r>
        <w:t xml:space="preserve">1. Defining the Scope</w:t>
      </w:r>
    </w:p>
    <w:bookmarkStart w:id="24"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lsmxqmjvle.</w:t>
      </w:r>
      <w:r>
        <w:t xml:space="preserve"> </w:t>
      </w:r>
      <w:r>
        <w:t xml:space="preserve">This represents the basis for all calculations and comparisons, ensuring consistency in quantifying environmental impacts.</w:t>
      </w:r>
    </w:p>
    <w:bookmarkEnd w:id="24"/>
    <w:bookmarkStart w:id="25" w:name="system-boundary"/>
    <w:p>
      <w:pPr>
        <w:pStyle w:val="Heading3"/>
      </w:pPr>
      <w:r>
        <w:t xml:space="preserve">1.2 System Boundary</w:t>
      </w:r>
    </w:p>
    <w:p>
      <w:pPr>
        <w:pStyle w:val="FirstParagraph"/>
      </w:pPr>
      <w:r>
        <w:t xml:space="preserve">The formal system boundary for this PCF study is stated as</w:t>
      </w:r>
      <w:r>
        <w:t xml:space="preserve"> </w:t>
      </w:r>
      <w:r>
        <w:rPr>
          <w:bCs/>
          <w:b/>
        </w:rPr>
        <w:t xml:space="preserve">factory_gate</w:t>
      </w:r>
      <w:r>
        <w:t xml:space="preserve">. However, to fulfill the requirement of a comprehensive lifecycle analysis including distribution, use phase, and end-of-life, this report extends the analysis to a "cradle-to-grave" perspective. This expanded scope ensures all specified parameters for the product\'s full life cycle are incorporated, providing a complete picture of its environmental impact.</w:t>
      </w:r>
    </w:p>
    <w:bookmarkEnd w:id="25"/>
    <w:bookmarkStart w:id="26" w:name="geographic-scope"/>
    <w:p>
      <w:pPr>
        <w:pStyle w:val="Heading3"/>
      </w:pPr>
      <w:r>
        <w:t xml:space="preserve">1.3 Geographic Scope</w:t>
      </w:r>
    </w:p>
    <w:p>
      <w:pPr>
        <w:pStyle w:val="FirstParagraph"/>
      </w:pPr>
      <w:r>
        <w:t xml:space="preserve">The geographic scope for the final production of lsmxqmjvle is</w:t>
      </w:r>
      <w:r>
        <w:t xml:space="preserve"> </w:t>
      </w:r>
      <w:r>
        <w:rPr>
          <w:bCs/>
          <w:b/>
        </w:rPr>
        <w:t xml:space="preserve">China</w:t>
      </w:r>
      <w:r>
        <w:t xml:space="preserve">. The supply chain focus</w:t>
      </w:r>
      <w:r>
        <w:t xml:space="preserve"> </w:t>
      </w:r>
      <w:r>
        <w:t xml:space="preserve">is primarily</w:t>
      </w:r>
      <w:r>
        <w:t xml:space="preserve"> </w:t>
      </w:r>
      <w:r>
        <w:rPr>
          <w:bCs/>
          <w:b/>
        </w:rPr>
        <w:t xml:space="preserve">Europe Focused</w:t>
      </w:r>
      <w:r>
        <w:t xml:space="preserve">, indicating that significant upstream material and component</w:t>
      </w:r>
      <w:r>
        <w:t xml:space="preserve"> </w:t>
      </w:r>
      <w:r>
        <w:t xml:space="preserve">sourcing, as well as intermediate processing, originates from or passes through Europe before final assembly in China.</w:t>
      </w:r>
    </w:p>
    <w:bookmarkEnd w:id="26"/>
    <w:bookmarkStart w:id="27"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w:t>
      </w:r>
      <w:r>
        <w:t xml:space="preserve"> </w:t>
      </w:r>
      <w:r>
        <w:t xml:space="preserve">Emissions are categorized into Scope 1 (direct emissions), Scope 2 (indirect emissions from purchased energy),</w:t>
      </w:r>
      <w:r>
        <w:t xml:space="preserve"> </w:t>
      </w:r>
      <w:r>
        <w:t xml:space="preserve">and Scope 3 (all other indirect emissions in the value chain, both upstream and downstream). The analysis</w:t>
      </w:r>
      <w:r>
        <w:t xml:space="preserve"> </w:t>
      </w:r>
      <w:r>
        <w:t xml:space="preserve">also applies the</w:t>
      </w:r>
      <w:r>
        <w:t xml:space="preserve"> </w:t>
      </w:r>
      <w:r>
        <w:rPr>
          <w:bCs/>
          <w:b/>
        </w:rPr>
        <w:t xml:space="preserve">2026 Land Sector and Removals (LSR) Standard</w:t>
      </w:r>
      <w:r>
        <w:t xml:space="preserve"> </w:t>
      </w:r>
      <w:r>
        <w:t xml:space="preserve">for relevant land use and carbon removals,</w:t>
      </w:r>
      <w:r>
        <w:t xml:space="preserve"> </w:t>
      </w:r>
      <w:r>
        <w:t xml:space="preserve">and ensures at least</w:t>
      </w:r>
      <w:r>
        <w:t xml:space="preserve"> </w:t>
      </w:r>
      <w:r>
        <w:rPr>
          <w:bCs/>
          <w:b/>
        </w:rPr>
        <w:t xml:space="preserve">95% coverage for Scope 3 reporting</w:t>
      </w:r>
      <w:r>
        <w:t xml:space="preserve">, aligning with 2026 requirements.</w:t>
      </w:r>
    </w:p>
    <w:p>
      <w:r>
        <w:pict>
          <v:rect style="width:0;height:1.5pt" o:hralign="center" o:hrstd="t" o:hr="t"/>
        </w:pict>
      </w:r>
    </w:p>
    <w:bookmarkEnd w:id="27"/>
    <w:bookmarkEnd w:id="28"/>
    <w:bookmarkStart w:id="35" w:name="Xeceb5f3c4cb430539f02d69dd8b49b0c98a11ff"/>
    <w:p>
      <w:pPr>
        <w:pStyle w:val="Heading2"/>
      </w:pPr>
      <w:r>
        <w:t xml:space="preserve">2. Mapping the Lifecycle (LCI Inventory Stages)</w:t>
      </w:r>
    </w:p>
    <w:p>
      <w:pPr>
        <w:pStyle w:val="FirstParagraph"/>
      </w:pPr>
      <w:r>
        <w:t xml:space="preserve">The lifecycle of lsmxqmjvle is mapped across the following stages, capturing all relevant inputs and outputs.</w:t>
      </w:r>
      <w:r>
        <w:t xml:space="preserve"> </w:t>
      </w:r>
      <w:r>
        <w:t xml:space="preserve">For this report, placeholders are used for the specific parameters provided, and industry-standard assumptions are made where explicit data is not available.</w:t>
      </w:r>
    </w:p>
    <w:bookmarkStart w:id="30" w:name="X19e7091be73dabe746ec844a494e50a621d9384"/>
    <w:p>
      <w:pPr>
        <w:pStyle w:val="Heading3"/>
      </w:pPr>
      <w:r>
        <w:t xml:space="preserve">2.1 Raw Material Acquisition and Pre-processing</w:t>
      </w:r>
    </w:p>
    <w:p>
      <w:pPr>
        <w:pStyle w:val="FirstParagraph"/>
      </w:pPr>
      <w:r>
        <w:t xml:space="preserve">This stage includes the extraction and processing of all raw materials required for the product\'s components.</w:t>
      </w:r>
      <w:r>
        <w:t xml:space="preserve"> </w:t>
      </w:r>
      <w:r>
        <w:t xml:space="preserve">The Detailed Bill of Materials (BOM) provides specific data for high-accuracy material impact calculation.</w:t>
      </w:r>
    </w:p>
    <w:bookmarkStart w:id="29" w:name="X8c25a17458f67ae73ddebf05c14e276fa9def19"/>
    <w:p>
      <w:pPr>
        <w:pStyle w:val="Heading4"/>
      </w:pPr>
      <w:r>
        <w:t xml:space="preserve">Detailed Bill of Materials (BOM) - fngkhzph</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"Total Carbon" values for each BOM item are directly utilized as provided in the Detailed Bill of Materials.</w:t>
      </w:r>
    </w:p>
    <w:bookmarkEnd w:id="29"/>
    <w:bookmarkEnd w:id="30"/>
    <w:bookmarkStart w:id="31" w:name="manufacturing-production"/>
    <w:p>
      <w:pPr>
        <w:pStyle w:val="Heading3"/>
      </w:pPr>
      <w:r>
        <w:t xml:space="preserve">2.2 Manufacturing / Production</w:t>
      </w:r>
    </w:p>
    <w:p>
      <w:pPr>
        <w:pStyle w:val="FirstParagraph"/>
      </w:pPr>
      <w:r>
        <w:t xml:space="preserve">This stage encompasses all energy consumption and processes at the manufacturing facility.</w:t>
      </w:r>
      <w:r>
        <w:t xml:space="preserve"> </w:t>
      </w:r>
      <w:r>
        <w:t xml:space="preserve">The energy mix incorporates specific renewable energy usage data.</w:t>
      </w:r>
    </w:p>
    <w:p>
      <w:pPr>
        <w:numPr>
          <w:ilvl w:val="0"/>
          <w:numId w:val="1001"/>
        </w:numPr>
        <w:pStyle w:val="Compact"/>
      </w:pPr>
      <w:r>
        <w:rPr>
          <w:bCs/>
          <w:b/>
        </w:rPr>
        <w:t xml:space="preserve">Energy Intensity (kWh/unit):</w:t>
      </w:r>
      <w:r>
        <w:t xml:space="preserve"> </w:t>
      </w:r>
      <w:r>
        <w:t xml:space="preserve">25 kWh/unit (uwqinyisky)</w:t>
      </w:r>
    </w:p>
    <w:p>
      <w:pPr>
        <w:numPr>
          <w:ilvl w:val="0"/>
          <w:numId w:val="1001"/>
        </w:numPr>
        <w:pStyle w:val="Compact"/>
      </w:pPr>
      <w:r>
        <w:rPr>
          <w:bCs/>
          <w:b/>
        </w:rPr>
        <w:t xml:space="preserve">Renewable Energy Usage:</w:t>
      </w:r>
      <w:r>
        <w:t xml:space="preserve"> </w:t>
      </w:r>
      <w:r>
        <w:t xml:space="preserve">60% (ehpdojnkpg)</w:t>
      </w:r>
    </w:p>
    <w:p>
      <w:pPr>
        <w:numPr>
          <w:ilvl w:val="0"/>
          <w:numId w:val="1001"/>
        </w:numPr>
        <w:pStyle w:val="Compact"/>
      </w:pPr>
      <w:r>
        <w:rPr>
          <w:bCs/>
          <w:b/>
        </w:rPr>
        <w:t xml:space="preserve">Non-renewable energy mix:</w:t>
      </w:r>
      <w:r>
        <w:t xml:space="preserve"> </w:t>
      </w:r>
      <w:r>
        <w:t xml:space="preserve">40% (100% - 60%)</w:t>
      </w:r>
    </w:p>
    <w:bookmarkEnd w:id="31"/>
    <w:bookmarkStart w:id="32" w:name="transport-and-distribution"/>
    <w:p>
      <w:pPr>
        <w:pStyle w:val="Heading3"/>
      </w:pPr>
      <w:r>
        <w:t xml:space="preserve">2.3 Transport and Distribution</w:t>
      </w:r>
    </w:p>
    <w:p>
      <w:pPr>
        <w:pStyle w:val="FirstParagraph"/>
      </w:pPr>
      <w:r>
        <w:t xml:space="preserve">This stage covers the transportation of raw materials to the manufacturing site, and the distribution of the finished product.</w:t>
      </w:r>
    </w:p>
    <w:p>
      <w:pPr>
        <w:numPr>
          <w:ilvl w:val="0"/>
          <w:numId w:val="1002"/>
        </w:numPr>
        <w:pStyle w:val="Compact"/>
      </w:pPr>
      <w:r>
        <w:rPr>
          <w:bCs/>
          <w:b/>
        </w:rPr>
        <w:t xml:space="preserve">Upstream Transport Mode (assumed for components from Europe to China):</w:t>
      </w:r>
      <w:r>
        <w:t xml:space="preserve"> </w:t>
      </w:r>
      <w:r>
        <w:t xml:space="preserve">Mixed Freight (primarily Ocean/Rail for long-haul)</w:t>
      </w:r>
    </w:p>
    <w:p>
      <w:pPr>
        <w:numPr>
          <w:ilvl w:val="0"/>
          <w:numId w:val="1002"/>
        </w:numPr>
        <w:pStyle w:val="Compact"/>
      </w:pPr>
      <w:r>
        <w:rPr>
          <w:bCs/>
          <w:b/>
        </w:rPr>
        <w:t xml:space="preserve">Upstream Transport Distance (assumed for components from Europe to China):</w:t>
      </w:r>
      <w:r>
        <w:t xml:space="preserve"> </w:t>
      </w:r>
      <w:r>
        <w:t xml:space="preserve">10,000 km</w:t>
      </w:r>
    </w:p>
    <w:p>
      <w:pPr>
        <w:numPr>
          <w:ilvl w:val="0"/>
          <w:numId w:val="1002"/>
        </w:numPr>
        <w:pStyle w:val="Compact"/>
      </w:pPr>
      <w:r>
        <w:rPr>
          <w:bCs/>
          <w:b/>
        </w:rPr>
        <w:t xml:space="preserve">Downstream Main Transport Mode:</w:t>
      </w:r>
      <w:r>
        <w:t xml:space="preserve"> </w:t>
      </w:r>
      <w:r>
        <w:t xml:space="preserve">Road Freight (Heavy Goods Vehicle) (Assumed from "Select Mode")</w:t>
      </w:r>
    </w:p>
    <w:p>
      <w:pPr>
        <w:numPr>
          <w:ilvl w:val="0"/>
          <w:numId w:val="1002"/>
        </w:numPr>
        <w:pStyle w:val="Compact"/>
      </w:pPr>
      <w:r>
        <w:rPr>
          <w:bCs/>
          <w:b/>
        </w:rPr>
        <w:t xml:space="preserve">Downstream Main Transport Distance:</w:t>
      </w:r>
      <w:r>
        <w:t xml:space="preserve"> </w:t>
      </w:r>
      <w:r>
        <w:t xml:space="preserve">1500 km (djjskyqqrx)</w:t>
      </w:r>
    </w:p>
    <w:p>
      <w:pPr>
        <w:numPr>
          <w:ilvl w:val="0"/>
          <w:numId w:val="1002"/>
        </w:numPr>
        <w:pStyle w:val="Compact"/>
      </w:pPr>
      <w:r>
        <w:rPr>
          <w:bCs/>
          <w:b/>
        </w:rPr>
        <w:t xml:space="preserve">Last-Mile Delivery Channel:</w:t>
      </w:r>
      <w:r>
        <w:t xml:space="preserve"> </w:t>
      </w:r>
      <w:r>
        <w:t xml:space="preserve">Parcel Van Delivery (Assumed from "Delivery Type")</w:t>
      </w:r>
    </w:p>
    <w:p>
      <w:pPr>
        <w:numPr>
          <w:ilvl w:val="0"/>
          <w:numId w:val="1002"/>
        </w:numPr>
        <w:pStyle w:val="Compact"/>
      </w:pPr>
      <w:r>
        <w:rPr>
          <w:bCs/>
          <w:b/>
        </w:rPr>
        <w:t xml:space="preserve">Last-Mile Delivery Distance (assumed):</w:t>
      </w:r>
      <w:r>
        <w:t xml:space="preserve"> </w:t>
      </w:r>
      <w:r>
        <w:t xml:space="preserve">50 km</w:t>
      </w:r>
    </w:p>
    <w:bookmarkEnd w:id="32"/>
    <w:bookmarkStart w:id="33" w:name="use-phase"/>
    <w:p>
      <w:pPr>
        <w:pStyle w:val="Heading3"/>
      </w:pPr>
      <w:r>
        <w:t xml:space="preserve">2.4 Use Phase</w:t>
      </w:r>
    </w:p>
    <w:p>
      <w:pPr>
        <w:pStyle w:val="FirstParagraph"/>
      </w:pPr>
      <w:r>
        <w:t xml:space="preserve">The use phase considers the energy consumed by the product during its operational life.</w:t>
      </w:r>
    </w:p>
    <w:p>
      <w:pPr>
        <w:numPr>
          <w:ilvl w:val="0"/>
          <w:numId w:val="1003"/>
        </w:numPr>
        <w:pStyle w:val="Compact"/>
      </w:pPr>
      <w:r>
        <w:rPr>
          <w:bCs/>
          <w:b/>
        </w:rPr>
        <w:t xml:space="preserve">Product Lifespan:</w:t>
      </w:r>
      <w:r>
        <w:t xml:space="preserve"> </w:t>
      </w:r>
      <w:r>
        <w:t xml:space="preserve">5 years (uewlfwqnkv)</w:t>
      </w:r>
    </w:p>
    <w:p>
      <w:pPr>
        <w:numPr>
          <w:ilvl w:val="0"/>
          <w:numId w:val="1003"/>
        </w:numPr>
        <w:pStyle w:val="Compact"/>
      </w:pPr>
      <w:r>
        <w:rPr>
          <w:bCs/>
          <w:b/>
        </w:rPr>
        <w:t xml:space="preserve">Energy Consumption in Use:</w:t>
      </w:r>
      <w:r>
        <w:t xml:space="preserve"> </w:t>
      </w:r>
      <w:r>
        <w:t xml:space="preserve">10 kWh/year (zujkvhdgtq)</w:t>
      </w:r>
    </w:p>
    <w:bookmarkEnd w:id="33"/>
    <w:bookmarkStart w:id="34" w:name="end-of-life-eol"/>
    <w:p>
      <w:pPr>
        <w:pStyle w:val="Heading3"/>
      </w:pPr>
      <w:r>
        <w:t xml:space="preserve">2.5 End-of-Life (EoL)</w:t>
      </w:r>
    </w:p>
    <w:p>
      <w:pPr>
        <w:pStyle w:val="FirstParagraph"/>
      </w:pPr>
      <w:r>
        <w:t xml:space="preserve">This stage accounts for the disposal and potential recycling or recovery of materials at the end of the product\'s life.</w:t>
      </w:r>
    </w:p>
    <w:p>
      <w:pPr>
        <w:numPr>
          <w:ilvl w:val="0"/>
          <w:numId w:val="1004"/>
        </w:numPr>
        <w:pStyle w:val="Compact"/>
      </w:pPr>
      <w:r>
        <w:rPr>
          <w:bCs/>
          <w:b/>
        </w:rPr>
        <w:t xml:space="preserve">Recyclability Percentage:</w:t>
      </w:r>
      <w:r>
        <w:t xml:space="preserve"> </w:t>
      </w:r>
      <w:r>
        <w:t xml:space="preserve">75% (jnhetvqouw)</w:t>
      </w:r>
    </w:p>
    <w:p>
      <w:pPr>
        <w:numPr>
          <w:ilvl w:val="0"/>
          <w:numId w:val="1004"/>
        </w:numPr>
        <w:pStyle w:val="Compact"/>
      </w:pPr>
      <w:r>
        <w:rPr>
          <w:bCs/>
          <w:b/>
        </w:rPr>
        <w:t xml:space="preserve">Circular/Take-back Programs:</w:t>
      </w:r>
      <w:r>
        <w:t xml:space="preserve"> </w:t>
      </w:r>
      <w:r>
        <w:t xml:space="preserve">Active take-back program for material recovery (kffypjorfw)</w:t>
      </w:r>
    </w:p>
    <w:p>
      <w:r>
        <w:pict>
          <v:rect style="width:0;height:1.5pt" o:hralign="center" o:hrstd="t" o:hr="t"/>
        </w:pict>
      </w:r>
    </w:p>
    <w:bookmarkEnd w:id="34"/>
    <w:bookmarkEnd w:id="35"/>
    <w:bookmarkStart w:id="38" w:name="data-collection"/>
    <w:p>
      <w:pPr>
        <w:pStyle w:val="Heading2"/>
      </w:pPr>
      <w:r>
        <w:t xml:space="preserve">3. Data Collection</w:t>
      </w:r>
    </w:p>
    <w:p>
      <w:pPr>
        <w:pStyle w:val="FirstParagraph"/>
      </w:pPr>
      <w:r>
        <w:t xml:space="preserve">Data collection involved gathering primary data directly from the provided parameters and supplementing with</w:t>
      </w:r>
      <w:r>
        <w:t xml:space="preserve"> </w:t>
      </w:r>
      <w:r>
        <w:t xml:space="preserve">secondary data from recognized industry databases for emission factors where necessary.</w:t>
      </w:r>
    </w:p>
    <w:bookmarkStart w:id="36" w:name="primary-data-points"/>
    <w:p>
      <w:pPr>
        <w:pStyle w:val="Heading3"/>
      </w:pPr>
      <w:r>
        <w:t xml:space="preserve">3.1 Primary Data Points</w:t>
      </w:r>
    </w:p>
    <w:p>
      <w:pPr>
        <w:numPr>
          <w:ilvl w:val="0"/>
          <w:numId w:val="1005"/>
        </w:numPr>
        <w:pStyle w:val="Compact"/>
      </w:pPr>
      <w:r>
        <w:t xml:space="preserve">Detailed Bill of Materials (fngkhzph): As listed in Section 2.1.</w:t>
      </w:r>
    </w:p>
    <w:p>
      <w:pPr>
        <w:numPr>
          <w:ilvl w:val="0"/>
          <w:numId w:val="1005"/>
        </w:numPr>
        <w:pStyle w:val="Compact"/>
      </w:pPr>
      <w:r>
        <w:t xml:space="preserve">Energy Intensity (uwqinyisky): 25 kWh/unit.</w:t>
      </w:r>
    </w:p>
    <w:p>
      <w:pPr>
        <w:numPr>
          <w:ilvl w:val="0"/>
          <w:numId w:val="1005"/>
        </w:numPr>
        <w:pStyle w:val="Compact"/>
      </w:pPr>
      <w:r>
        <w:t xml:space="preserve">Renewable Energy Usage (ehpdojnkpg): 60%.</w:t>
      </w:r>
    </w:p>
    <w:p>
      <w:pPr>
        <w:numPr>
          <w:ilvl w:val="0"/>
          <w:numId w:val="1005"/>
        </w:numPr>
        <w:pStyle w:val="Compact"/>
      </w:pPr>
      <w:r>
        <w:t xml:space="preserve">Downstream Main Transport Distance (djjskyqqrx): 1500 km.</w:t>
      </w:r>
    </w:p>
    <w:p>
      <w:pPr>
        <w:numPr>
          <w:ilvl w:val="0"/>
          <w:numId w:val="1005"/>
        </w:numPr>
        <w:pStyle w:val="Compact"/>
      </w:pPr>
      <w:r>
        <w:t xml:space="preserve">Product Lifespan (uewlfwqnkv): 5 years.</w:t>
      </w:r>
    </w:p>
    <w:p>
      <w:pPr>
        <w:numPr>
          <w:ilvl w:val="0"/>
          <w:numId w:val="1005"/>
        </w:numPr>
        <w:pStyle w:val="Compact"/>
      </w:pPr>
      <w:r>
        <w:t xml:space="preserve">Energy Consumption in Use (zujkvhdgtq): 10 kWh/year.</w:t>
      </w:r>
    </w:p>
    <w:p>
      <w:pPr>
        <w:numPr>
          <w:ilvl w:val="0"/>
          <w:numId w:val="1005"/>
        </w:numPr>
        <w:pStyle w:val="Compact"/>
      </w:pPr>
      <w:r>
        <w:t xml:space="preserve">Recyclability Percentage (jnhetvqouw): 75%.</w:t>
      </w:r>
    </w:p>
    <w:bookmarkEnd w:id="36"/>
    <w:bookmarkStart w:id="37" w:name="secondary-data-points-emission-factors"/>
    <w:p>
      <w:pPr>
        <w:pStyle w:val="Heading3"/>
      </w:pPr>
      <w:r>
        <w:t xml:space="preserve">3.2 Secondary Data Points (Emission Factors)</w:t>
      </w:r>
    </w:p>
    <w:p>
      <w:pPr>
        <w:pStyle w:val="FirstParagraph"/>
      </w:pPr>
      <w:r>
        <w:t xml:space="preserve">Industry-standard emission factors are crucial for converting activity data into CO2e emissions.</w:t>
      </w:r>
      <w:r>
        <w:t xml:space="preserve"> </w:t>
      </w:r>
      <w:r>
        <w:t xml:space="preserve">The following representative factors are used in this analysis, derived from common databases such as Ecoinvent and DEFRA, or similar authoritative sources.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Grid Electricity (China)</w:t>
            </w:r>
          </w:p>
        </w:tc>
        <w:tc>
          <w:tcPr/>
          <w:p>
            <w:pPr>
              <w:pStyle w:val="Compact"/>
              <w:jc w:val="left"/>
            </w:pPr>
            <w:r>
              <w:t xml:space="preserve">0.6 kg CO2e</w:t>
            </w:r>
          </w:p>
        </w:tc>
        <w:tc>
          <w:tcPr/>
          <w:p>
            <w:pPr>
              <w:pStyle w:val="Compact"/>
              <w:jc w:val="left"/>
            </w:pPr>
            <w:r>
              <w:t xml:space="preserve">/kWh</w:t>
            </w:r>
          </w:p>
        </w:tc>
        <w:tc>
          <w:tcPr/>
          <w:p>
            <w:pPr>
              <w:pStyle w:val="Compact"/>
              <w:jc w:val="left"/>
            </w:pPr>
            <w:r>
              <w:t xml:space="preserve">IEA/MEE average for China (~0.55-0.62 kg CO2e/kWh for 2021-2023)</w:t>
            </w:r>
          </w:p>
        </w:tc>
      </w:tr>
      <w:tr>
        <w:tc>
          <w:tcPr/>
          <w:p>
            <w:pPr>
              <w:pStyle w:val="Compact"/>
              <w:jc w:val="left"/>
            </w:pPr>
            <w:r>
              <w:t xml:space="preserve">Renewable Electricity</w:t>
            </w:r>
          </w:p>
        </w:tc>
        <w:tc>
          <w:tcPr/>
          <w:p>
            <w:pPr>
              <w:pStyle w:val="Compact"/>
              <w:jc w:val="left"/>
            </w:pPr>
            <w:r>
              <w:t xml:space="preserve">0.0 kg CO2e</w:t>
            </w:r>
          </w:p>
        </w:tc>
        <w:tc>
          <w:tcPr/>
          <w:p>
            <w:pPr>
              <w:pStyle w:val="Compact"/>
              <w:jc w:val="left"/>
            </w:pPr>
            <w:r>
              <w:t xml:space="preserve">/kWh</w:t>
            </w:r>
          </w:p>
        </w:tc>
        <w:tc>
          <w:tcPr/>
          <w:p>
            <w:pPr>
              <w:pStyle w:val="Compact"/>
              <w:jc w:val="left"/>
            </w:pPr>
            <w:r>
              <w:t xml:space="preserve">Certified Renewable Energy (e.g., wind, solar)</w:t>
            </w:r>
          </w:p>
        </w:tc>
      </w:tr>
      <w:tr>
        <w:tc>
          <w:tcPr/>
          <w:p>
            <w:pPr>
              <w:pStyle w:val="Compact"/>
              <w:jc w:val="left"/>
            </w:pPr>
            <w:r>
              <w:t xml:space="preserve">Long-haul Intercontinental Freight (blended)</w:t>
            </w:r>
          </w:p>
        </w:tc>
        <w:tc>
          <w:tcPr/>
          <w:p>
            <w:pPr>
              <w:pStyle w:val="Compact"/>
              <w:jc w:val="left"/>
            </w:pPr>
            <w:r>
              <w:t xml:space="preserve">0.01 kg CO2e</w:t>
            </w:r>
          </w:p>
        </w:tc>
        <w:tc>
          <w:tcPr/>
          <w:p>
            <w:pPr>
              <w:pStyle w:val="Compact"/>
              <w:jc w:val="left"/>
            </w:pPr>
            <w:r>
              <w:t xml:space="preserve">/tkm</w:t>
            </w:r>
          </w:p>
        </w:tc>
        <w:tc>
          <w:tcPr/>
          <w:p>
            <w:pPr>
              <w:pStyle w:val="Compact"/>
              <w:jc w:val="left"/>
            </w:pPr>
            <w:r>
              <w:t xml:space="preserve">Assumption for mixed ocean/rail freight</w:t>
            </w:r>
          </w:p>
        </w:tc>
      </w:tr>
      <w:tr>
        <w:tc>
          <w:tcPr/>
          <w:p>
            <w:pPr>
              <w:pStyle w:val="Compact"/>
              <w:jc w:val="left"/>
            </w:pPr>
            <w:r>
              <w:t xml:space="preserve">Road Freight (HGV, &gt;16t, Euro VI)</w:t>
            </w:r>
          </w:p>
        </w:tc>
        <w:tc>
          <w:tcPr/>
          <w:p>
            <w:pPr>
              <w:pStyle w:val="Compact"/>
              <w:jc w:val="left"/>
            </w:pPr>
            <w:r>
              <w:t xml:space="preserve">0.08 kg CO2e</w:t>
            </w:r>
          </w:p>
        </w:tc>
        <w:tc>
          <w:tcPr/>
          <w:p>
            <w:pPr>
              <w:pStyle w:val="Compact"/>
              <w:jc w:val="left"/>
            </w:pPr>
            <w:r>
              <w:t xml:space="preserve">/tkm</w:t>
            </w:r>
          </w:p>
        </w:tc>
        <w:tc>
          <w:tcPr/>
          <w:p>
            <w:pPr>
              <w:pStyle w:val="Compact"/>
              <w:jc w:val="left"/>
            </w:pPr>
            <w:r>
              <w:t xml:space="preserve">DEFRA/Ecoinvent (average)</w:t>
            </w:r>
          </w:p>
        </w:tc>
      </w:tr>
      <w:tr>
        <w:tc>
          <w:tcPr/>
          <w:p>
            <w:pPr>
              <w:pStyle w:val="Compact"/>
              <w:jc w:val="left"/>
            </w:pPr>
            <w:r>
              <w:t xml:space="preserve">Parcel Van Delivery</w:t>
            </w:r>
          </w:p>
        </w:tc>
        <w:tc>
          <w:tcPr/>
          <w:p>
            <w:pPr>
              <w:pStyle w:val="Compact"/>
              <w:jc w:val="left"/>
            </w:pPr>
            <w:r>
              <w:t xml:space="preserve">0.2 kg CO2e</w:t>
            </w:r>
          </w:p>
        </w:tc>
        <w:tc>
          <w:tcPr/>
          <w:p>
            <w:pPr>
              <w:pStyle w:val="Compact"/>
              <w:jc w:val="left"/>
            </w:pPr>
            <w:r>
              <w:t xml:space="preserve">/parcel-km</w:t>
            </w:r>
          </w:p>
        </w:tc>
        <w:tc>
          <w:tcPr/>
          <w:p>
            <w:pPr>
              <w:pStyle w:val="Compact"/>
              <w:jc w:val="left"/>
            </w:pPr>
            <w:r>
              <w:t xml:space="preserve">Industry Average (e.g., GLEC Framework, BEIS for vans &lt;3.5t)</w:t>
            </w:r>
          </w:p>
        </w:tc>
      </w:tr>
      <w:tr>
        <w:tc>
          <w:tcPr/>
          <w:p>
            <w:pPr>
              <w:pStyle w:val="Compact"/>
              <w:jc w:val="left"/>
            </w:pPr>
            <w:r>
              <w:t xml:space="preserve">Waste to Landfill (Mixed Waste)</w:t>
            </w:r>
          </w:p>
        </w:tc>
        <w:tc>
          <w:tcPr/>
          <w:p>
            <w:pPr>
              <w:pStyle w:val="Compact"/>
              <w:jc w:val="left"/>
            </w:pPr>
            <w:r>
              <w:t xml:space="preserve">0.1 kg CO2e</w:t>
            </w:r>
          </w:p>
        </w:tc>
        <w:tc>
          <w:tcPr/>
          <w:p>
            <w:pPr>
              <w:pStyle w:val="Compact"/>
              <w:jc w:val="left"/>
            </w:pPr>
            <w:r>
              <w:t xml:space="preserve">/kg</w:t>
            </w:r>
          </w:p>
        </w:tc>
        <w:tc>
          <w:tcPr/>
          <w:p>
            <w:pPr>
              <w:pStyle w:val="Compact"/>
              <w:jc w:val="left"/>
            </w:pPr>
            <w:r>
              <w:t xml:space="preserve">Generic Waste Management Data (~70-300 kg CO2e/tonne)</w:t>
            </w:r>
          </w:p>
        </w:tc>
      </w:tr>
      <w:tr>
        <w:tc>
          <w:tcPr/>
          <w:p>
            <w:pPr>
              <w:pStyle w:val="Compact"/>
              <w:jc w:val="left"/>
            </w:pPr>
            <w:r>
              <w:t xml:space="preserve">Avoided Emissions from Plastic Recycling</w:t>
            </w:r>
          </w:p>
        </w:tc>
        <w:tc>
          <w:tcPr/>
          <w:p>
            <w:pPr>
              <w:pStyle w:val="Compact"/>
              <w:jc w:val="left"/>
            </w:pPr>
            <w:r>
              <w:t xml:space="preserve">-1.5 kg CO2e</w:t>
            </w:r>
          </w:p>
        </w:tc>
        <w:tc>
          <w:tcPr/>
          <w:p>
            <w:pPr>
              <w:pStyle w:val="Compact"/>
              <w:jc w:val="left"/>
            </w:pPr>
            <w:r>
              <w:t xml:space="preserve">/kg recycled</w:t>
            </w:r>
          </w:p>
        </w:tc>
        <w:tc>
          <w:tcPr/>
          <w:p>
            <w:pPr>
              <w:pStyle w:val="Compact"/>
              <w:jc w:val="left"/>
            </w:pPr>
            <w:r>
              <w:t xml:space="preserve">Ecoinvent/Industry Averages (ranges -1.1 to -5.7 kg CO2e/kg)</w:t>
            </w:r>
          </w:p>
        </w:tc>
      </w:tr>
    </w:tbl>
    <w:p>
      <w:pPr>
        <w:pStyle w:val="BodyText"/>
      </w:pPr>
      <w:r>
        <w:rPr>
          <w:iCs/>
          <w:i/>
        </w:rPr>
        <w:t xml:space="preserve">Note: For the BOM items, the "Emission Factor" and "Total Carbon" values provided in `fngkhzph` are used directly, superseding generic factors for those specific materials/processes.</w:t>
      </w:r>
    </w:p>
    <w:p>
      <w:r>
        <w:pict>
          <v:rect style="width:0;height:1.5pt" o:hralign="center" o:hrstd="t" o:hr="t"/>
        </w:pict>
      </w:r>
    </w:p>
    <w:bookmarkEnd w:id="37"/>
    <w:bookmarkEnd w:id="38"/>
    <w:bookmarkStart w:id="51" w:name="X2c62247db19834934c44c209ad423fe06ba5c64"/>
    <w:p>
      <w:pPr>
        <w:pStyle w:val="Heading2"/>
      </w:pPr>
      <w:r>
        <w:t xml:space="preserve">4. Calculation of Emissions (Activity * Emission Factor = CO2e)</w:t>
      </w:r>
    </w:p>
    <w:p>
      <w:pPr>
        <w:pStyle w:val="FirstParagraph"/>
      </w:pPr>
      <w:r>
        <w:t xml:space="preserve">Emissions are calculated for each lifecycle stage, categorized according to the GHG Protocol.</w:t>
      </w:r>
      <w:r>
        <w:t xml:space="preserve"> </w:t>
      </w:r>
      <w:r>
        <w:t xml:space="preserve">For the functional unit of 1.0 unit of lsmxqmjvle.</w:t>
      </w:r>
      <w:r>
        <w:t xml:space="preserve"> </w:t>
      </w:r>
      <w:r>
        <w:t xml:space="preserve">The total product weight based on the BOM is 0.5 + 0.1 + 0.05 + 0.2 = 0.85 kg.</w:t>
      </w:r>
    </w:p>
    <w:bookmarkStart w:id="41" w:name="upstream-emissions-scope-3"/>
    <w:p>
      <w:pPr>
        <w:pStyle w:val="Heading3"/>
      </w:pPr>
      <w:r>
        <w:t xml:space="preserve">4.1 Upstream Emissions (Scope 3)</w:t>
      </w:r>
    </w:p>
    <w:bookmarkStart w:id="39" w:name="X2a9627d637813d31c06e89c4f0bb50a644134b5"/>
    <w:p>
      <w:pPr>
        <w:pStyle w:val="Heading4"/>
      </w:pPr>
      <w:r>
        <w:t xml:space="preserve">4.1.1 Materials (GHG Protocol Scope 3, Category 1: Purchased goods and services)</w:t>
      </w:r>
    </w:p>
    <w:p>
      <w:pPr>
        <w:pStyle w:val="FirstParagraph"/>
      </w:pPr>
      <w:r>
        <w:t xml:space="preserve">Calculated directly from the "Total Carbon" values provided in the Detailed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Metal Fasteners</w:t>
            </w:r>
          </w:p>
        </w:tc>
        <w:tc>
          <w:tcPr/>
          <w:p>
            <w:pPr>
              <w:pStyle w:val="Compact"/>
              <w:jc w:val="left"/>
            </w:pPr>
            <w:r>
              <w:t xml:space="preserve">0.15</w:t>
            </w:r>
          </w:p>
        </w:tc>
      </w:tr>
      <w:tr>
        <w:tc>
          <w:tcPr/>
          <w:p>
            <w:pPr>
              <w:pStyle w:val="Compact"/>
              <w:jc w:val="left"/>
            </w:pPr>
            <w:r>
              <w:t xml:space="preserve">Packaging Cardboard</w:t>
            </w:r>
          </w:p>
        </w:tc>
        <w:tc>
          <w:tcPr/>
          <w:p>
            <w:pPr>
              <w:pStyle w:val="Compact"/>
              <w:jc w:val="left"/>
            </w:pPr>
            <w:r>
              <w:t xml:space="preserve">0.16</w:t>
            </w:r>
          </w:p>
        </w:tc>
      </w:tr>
    </w:tbl>
    <w:p>
      <w:pPr>
        <w:pStyle w:val="BodyText"/>
      </w:pPr>
      <w:r>
        <w:rPr>
          <w:bCs/>
          <w:b/>
        </w:rPr>
        <w:t xml:space="preserve">Total Material Emissions:</w:t>
      </w:r>
      <w:r>
        <w:t xml:space="preserve"> </w:t>
      </w:r>
      <w:r>
        <w:t xml:space="preserve">3.06 kg CO2e</w:t>
      </w:r>
    </w:p>
    <w:bookmarkEnd w:id="39"/>
    <w:bookmarkStart w:id="40" w:name="X2564d57c65a6c9406d3dbd7afeb2183d1018096"/>
    <w:p>
      <w:pPr>
        <w:pStyle w:val="Heading4"/>
      </w:pPr>
      <w:r>
        <w:t xml:space="preserve">4.1.2 Upstream Transportation (GHG Protocol Scope 3, Category 4: Upstream transportation and distribution)</w:t>
      </w:r>
    </w:p>
    <w:p>
      <w:pPr>
        <w:pStyle w:val="FirstParagraph"/>
      </w:pPr>
      <w:r>
        <w:t xml:space="preserve">This accounts for the transportation of raw materials and components from Europe to the final production facility in China.</w:t>
      </w:r>
    </w:p>
    <w:p>
      <w:pPr>
        <w:numPr>
          <w:ilvl w:val="0"/>
          <w:numId w:val="1006"/>
        </w:numPr>
        <w:pStyle w:val="Compact"/>
      </w:pPr>
      <w:r>
        <w:t xml:space="preserve">Product Weight: 0.85 kg/unit</w:t>
      </w:r>
    </w:p>
    <w:p>
      <w:pPr>
        <w:numPr>
          <w:ilvl w:val="0"/>
          <w:numId w:val="1006"/>
        </w:numPr>
        <w:pStyle w:val="Compact"/>
      </w:pPr>
      <w:r>
        <w:t xml:space="preserve">Upstream Transport Distance (assumed Europe to China): 10,000 km</w:t>
      </w:r>
    </w:p>
    <w:p>
      <w:pPr>
        <w:numPr>
          <w:ilvl w:val="0"/>
          <w:numId w:val="1006"/>
        </w:numPr>
        <w:pStyle w:val="Compact"/>
      </w:pPr>
      <w:r>
        <w:t xml:space="preserve">Transport Mode EF (Blended long-haul freight): 0.01 kg CO2e/tkm (0.00001 kg CO2e/kg·km)</w:t>
      </w:r>
    </w:p>
    <w:p>
      <w:pPr>
        <w:pStyle w:val="FirstParagraph"/>
      </w:pPr>
      <w:r>
        <w:t xml:space="preserve">Calculation: (0.85 kg) * (10,000 km) * (0.00001 kg CO2e/kg·km) = 0.085 kg CO2e</w:t>
      </w:r>
    </w:p>
    <w:p>
      <w:pPr>
        <w:pStyle w:val="BodyText"/>
      </w:pPr>
      <w:r>
        <w:rPr>
          <w:bCs/>
          <w:b/>
        </w:rPr>
        <w:t xml:space="preserve">Total Upstream Transportation Emissions:</w:t>
      </w:r>
      <w:r>
        <w:t xml:space="preserve"> </w:t>
      </w:r>
      <w:r>
        <w:t xml:space="preserve">0.085 kg CO2e</w:t>
      </w:r>
    </w:p>
    <w:bookmarkEnd w:id="40"/>
    <w:bookmarkEnd w:id="41"/>
    <w:bookmarkStart w:id="43" w:name="core-emissions-scope-1-2"/>
    <w:p>
      <w:pPr>
        <w:pStyle w:val="Heading3"/>
      </w:pPr>
      <w:r>
        <w:t xml:space="preserve">4.2 Core Emissions (Scope 1 &amp; 2)</w:t>
      </w:r>
    </w:p>
    <w:bookmarkStart w:id="42" w:name="Xac3d17a764b22a4f22d9234a42794f222778084"/>
    <w:p>
      <w:pPr>
        <w:pStyle w:val="Heading4"/>
      </w:pPr>
      <w:r>
        <w:t xml:space="preserve">4.2.1 Manufacturing / Production (GHG Protocol Scope 2: Purchased electricity)</w:t>
      </w:r>
    </w:p>
    <w:p>
      <w:pPr>
        <w:pStyle w:val="FirstParagraph"/>
      </w:pPr>
      <w:r>
        <w:t xml:space="preserve">Energy Intensity: 25 kWh/unit. Renewable energy usage: 60%.</w:t>
      </w:r>
      <w:r>
        <w:t xml:space="preserve"> </w:t>
      </w:r>
      <w:r>
        <w:t xml:space="preserve">Non-renewable electricity: 25 kWh/unit * (1 - 0.60) = 10 kWh/unit.</w:t>
      </w:r>
      <w:r>
        <w:t xml:space="preserve"> </w:t>
      </w:r>
      <w:r>
        <w:t xml:space="preserve">Renewable electricity: 25 kWh/unit * 0.60 = 15 kWh/unit.</w:t>
      </w:r>
    </w:p>
    <w:p>
      <w:pPr>
        <w:numPr>
          <w:ilvl w:val="0"/>
          <w:numId w:val="1007"/>
        </w:numPr>
        <w:pStyle w:val="Compact"/>
      </w:pPr>
      <w:r>
        <w:t xml:space="preserve">Non-renewable electricity emissions: 10 kWh/unit * 0.6 kg CO2e/kWh (China grid EF) = 6.0 kg CO2e</w:t>
      </w:r>
    </w:p>
    <w:p>
      <w:pPr>
        <w:numPr>
          <w:ilvl w:val="0"/>
          <w:numId w:val="1007"/>
        </w:numPr>
        <w:pStyle w:val="Compact"/>
      </w:pPr>
      <w:r>
        <w:t xml:space="preserve">Renewable electricity emissions: 15 kWh/unit * 0.0 kg CO2e/kWh = 0.0 kg CO2e</w:t>
      </w:r>
    </w:p>
    <w:p>
      <w:pPr>
        <w:pStyle w:val="FirstParagraph"/>
      </w:pPr>
      <w:r>
        <w:rPr>
          <w:bCs/>
          <w:b/>
        </w:rPr>
        <w:t xml:space="preserve">Total Manufacturing/Production Emissions:</w:t>
      </w:r>
      <w:r>
        <w:t xml:space="preserve"> </w:t>
      </w:r>
      <w:r>
        <w:t xml:space="preserve">6.0 kg CO2e</w:t>
      </w:r>
    </w:p>
    <w:p>
      <w:pPr>
        <w:pStyle w:val="BodyText"/>
      </w:pPr>
      <w:r>
        <w:rPr>
          <w:iCs/>
          <w:i/>
        </w:rPr>
        <w:t xml:space="preserve">Note: No Scope 1 (direct) emissions are quantified without specific data on on-site fuel combustion.</w:t>
      </w:r>
    </w:p>
    <w:bookmarkEnd w:id="42"/>
    <w:bookmarkEnd w:id="43"/>
    <w:bookmarkStart w:id="47" w:name="downstream-emissions-scope-3"/>
    <w:p>
      <w:pPr>
        <w:pStyle w:val="Heading3"/>
      </w:pPr>
      <w:r>
        <w:t xml:space="preserve">4.3 Downstream Emissions (Scope 3)</w:t>
      </w:r>
    </w:p>
    <w:bookmarkStart w:id="44" w:name="X5207444e1673da7eeb4a1f66df69ee2ca9062ae"/>
    <w:p>
      <w:pPr>
        <w:pStyle w:val="Heading4"/>
      </w:pPr>
      <w:r>
        <w:t xml:space="preserve">4.3.1 Downstream Transportation and Distribution (GHG Protocol Scope 3, Category 9: Downstream transportation and distribution)</w:t>
      </w:r>
    </w:p>
    <w:p>
      <w:pPr>
        <w:pStyle w:val="FirstParagraph"/>
      </w:pPr>
      <w:r>
        <w:t xml:space="preserve">This includes the main distribution of the finished product and the last-mile delivery.</w:t>
      </w:r>
    </w:p>
    <w:p>
      <w:pPr>
        <w:numPr>
          <w:ilvl w:val="0"/>
          <w:numId w:val="1008"/>
        </w:numPr>
        <w:pStyle w:val="Compact"/>
      </w:pPr>
      <w:r>
        <w:t xml:space="preserve">Product Weight: 0.85 kg/unit</w:t>
      </w:r>
    </w:p>
    <w:p>
      <w:pPr>
        <w:numPr>
          <w:ilvl w:val="0"/>
          <w:numId w:val="1008"/>
        </w:numPr>
        <w:pStyle w:val="Compact"/>
      </w:pPr>
      <w:r>
        <w:t xml:space="preserve">Main Transport Distance (djjskyqqrx): 1500 km</w:t>
      </w:r>
    </w:p>
    <w:p>
      <w:pPr>
        <w:numPr>
          <w:ilvl w:val="0"/>
          <w:numId w:val="1008"/>
        </w:numPr>
        <w:pStyle w:val="Compact"/>
      </w:pPr>
      <w:r>
        <w:t xml:space="preserve">Main Transport Mode: Road Freight (HGV), EF = 0.08 kg CO2e/tkm (0.00008 kg CO2e/kg·km)</w:t>
      </w:r>
    </w:p>
    <w:p>
      <w:pPr>
        <w:numPr>
          <w:ilvl w:val="0"/>
          <w:numId w:val="1008"/>
        </w:numPr>
        <w:pStyle w:val="Compact"/>
      </w:pPr>
      <w:r>
        <w:t xml:space="preserve">Last-Mile Distance (assumed): 50 km</w:t>
      </w:r>
    </w:p>
    <w:p>
      <w:pPr>
        <w:numPr>
          <w:ilvl w:val="0"/>
          <w:numId w:val="1008"/>
        </w:numPr>
        <w:pStyle w:val="Compact"/>
      </w:pPr>
      <w:r>
        <w:t xml:space="preserve">Last-Mile Mode: Parcel Van Delivery, EF = 0.2 kg CO2e/parcel-km</w:t>
      </w:r>
    </w:p>
    <w:p>
      <w:pPr>
        <w:pStyle w:val="FirstParagraph"/>
      </w:pPr>
      <w:r>
        <w:t xml:space="preserve">Main Distribution Calculation: (0.85 kg) * (1500 km) * (0.00008 kg CO2e/kg·km) = 0.102 kg CO2e</w:t>
      </w:r>
      <w:r>
        <w:br/>
      </w:r>
      <w:r>
        <w:t xml:space="preserve">Last-Mile Delivery Calculation: 1 unit * 50 km * 0.2 kg CO2e/parcel-km = 10.0 kg CO2e</w:t>
      </w:r>
    </w:p>
    <w:p>
      <w:pPr>
        <w:pStyle w:val="BodyText"/>
      </w:pPr>
      <w:r>
        <w:rPr>
          <w:bCs/>
          <w:b/>
        </w:rPr>
        <w:t xml:space="preserve">Total Downstream Transportation Emissions:</w:t>
      </w:r>
      <w:r>
        <w:t xml:space="preserve"> </w:t>
      </w:r>
      <w:r>
        <w:t xml:space="preserve">0.102 + 10.0 = 10.102 kg CO2e</w:t>
      </w:r>
    </w:p>
    <w:p>
      <w:pPr>
        <w:pStyle w:val="BodyText"/>
      </w:pPr>
      <w:r>
        <w:rPr>
          <w:iCs/>
          <w:i/>
        </w:rPr>
        <w:t xml:space="preserve">Note: The relatively high impact for last-mile delivery highlights its significance for individual unit distribution.</w:t>
      </w:r>
    </w:p>
    <w:bookmarkEnd w:id="44"/>
    <w:bookmarkStart w:id="45" w:name="X521eefe6db95288bb174035ab3cfe74c7df85e6"/>
    <w:p>
      <w:pPr>
        <w:pStyle w:val="Heading4"/>
      </w:pPr>
      <w:r>
        <w:t xml:space="preserve">4.3.2 Use Phase (GHG Protocol Scope 3, Category 11: Use of sold products)</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Grid Electricity EF (China): 0.6 kg CO2e/kWh</w:t>
      </w:r>
    </w:p>
    <w:p>
      <w:pPr>
        <w:pStyle w:val="FirstParagraph"/>
      </w:pPr>
      <w:r>
        <w:t xml:space="preserve">Calculation: 5 years * 10 kWh/year * 0.6 kg CO2e/kWh = 30.0 kg CO2e</w:t>
      </w:r>
    </w:p>
    <w:p>
      <w:pPr>
        <w:pStyle w:val="BodyText"/>
      </w:pPr>
      <w:r>
        <w:rPr>
          <w:bCs/>
          <w:b/>
        </w:rPr>
        <w:t xml:space="preserve">Total Use Phase Emissions:</w:t>
      </w:r>
      <w:r>
        <w:t xml:space="preserve"> </w:t>
      </w:r>
      <w:r>
        <w:t xml:space="preserve">30.0 kg CO2e</w:t>
      </w:r>
    </w:p>
    <w:bookmarkEnd w:id="45"/>
    <w:bookmarkStart w:id="46" w:name="X1471904f9d9a3dddfe0e917e60d09a56637e3c9"/>
    <w:p>
      <w:pPr>
        <w:pStyle w:val="Heading4"/>
      </w:pPr>
      <w:r>
        <w:t xml:space="preserve">4.3.3 End-of-Life (EoL) Treatment (GHG Protocol Scope 3, Category 12: End-of-life treatment of sold products)</w:t>
      </w:r>
    </w:p>
    <w:p>
      <w:pPr>
        <w:numPr>
          <w:ilvl w:val="0"/>
          <w:numId w:val="1010"/>
        </w:numPr>
        <w:pStyle w:val="Compact"/>
      </w:pPr>
      <w:r>
        <w:t xml:space="preserve">Product Weight: 0.85 kg/unit</w:t>
      </w:r>
    </w:p>
    <w:p>
      <w:pPr>
        <w:numPr>
          <w:ilvl w:val="0"/>
          <w:numId w:val="1010"/>
        </w:numPr>
        <w:pStyle w:val="Compact"/>
      </w:pPr>
      <w:r>
        <w:t xml:space="preserve">Recyclability Percentage: 75%</w:t>
      </w:r>
    </w:p>
    <w:p>
      <w:pPr>
        <w:numPr>
          <w:ilvl w:val="0"/>
          <w:numId w:val="1010"/>
        </w:numPr>
        <w:pStyle w:val="Compact"/>
      </w:pPr>
      <w:r>
        <w:t xml:space="preserve">Waste to Landfill (25%): 0.85 kg * (1 - 0.75) = 0.2125 kg</w:t>
      </w:r>
    </w:p>
    <w:p>
      <w:pPr>
        <w:numPr>
          <w:ilvl w:val="0"/>
          <w:numId w:val="1010"/>
        </w:numPr>
        <w:pStyle w:val="Compact"/>
      </w:pPr>
      <w:r>
        <w:t xml:space="preserve">Recycled Material (75%): 0.85 kg * 0.75 = 0.6375 kg</w:t>
      </w:r>
    </w:p>
    <w:p>
      <w:pPr>
        <w:numPr>
          <w:ilvl w:val="0"/>
          <w:numId w:val="1010"/>
        </w:numPr>
        <w:pStyle w:val="Compact"/>
      </w:pPr>
      <w:r>
        <w:t xml:space="preserve">Waste to Landfill EF: 0.1 kg CO2e/kg</w:t>
      </w:r>
    </w:p>
    <w:p>
      <w:pPr>
        <w:numPr>
          <w:ilvl w:val="0"/>
          <w:numId w:val="1010"/>
        </w:numPr>
        <w:pStyle w:val="Compact"/>
      </w:pPr>
      <w:r>
        <w:t xml:space="preserve">Avoided Emissions from Recycling EF: -1.5 kg CO2e/kg</w:t>
      </w:r>
    </w:p>
    <w:p>
      <w:pPr>
        <w:pStyle w:val="FirstParagraph"/>
      </w:pPr>
      <w:r>
        <w:t xml:space="preserve">Landfill Emissions: 0.2125 kg * 0.1 kg CO2e/kg = 0.02125 kg CO2e</w:t>
      </w:r>
      <w:r>
        <w:br/>
      </w:r>
      <w:r>
        <w:t xml:space="preserve">Avoided Recycling Emissions: 0.6375 kg * (-1.5 kg CO2e/kg) = -0.95625 kg CO2e</w:t>
      </w:r>
    </w:p>
    <w:p>
      <w:pPr>
        <w:pStyle w:val="BodyText"/>
      </w:pPr>
      <w:r>
        <w:t xml:space="preserve">The "Active take-back program for material recovery" (kffypjorfw) is assumed to facilitate the high recyclability rate and potentially optimize collection logistics, contributing to the overall positive impact of circularity. Without specific data, its direct numerical impact beyond the recyclability percentage is not quantified but acknowledged.</w:t>
      </w:r>
    </w:p>
    <w:p>
      <w:pPr>
        <w:pStyle w:val="BodyText"/>
      </w:pPr>
      <w:r>
        <w:rPr>
          <w:bCs/>
          <w:b/>
        </w:rPr>
        <w:t xml:space="preserve">Total End-of-Life Emissions:</w:t>
      </w:r>
      <w:r>
        <w:t xml:space="preserve"> </w:t>
      </w:r>
      <w:r>
        <w:t xml:space="preserve">0.02125 + (-0.95625) = -0.935 kg CO2e (net removal due to recycling benefits)</w:t>
      </w:r>
    </w:p>
    <w:bookmarkEnd w:id="46"/>
    <w:bookmarkEnd w:id="47"/>
    <w:bookmarkStart w:id="48" w:name="X9b8f96e5fd6ec30b02c91cc11d45f1568d9808c"/>
    <w:p>
      <w:pPr>
        <w:pStyle w:val="Heading3"/>
      </w:pPr>
      <w:r>
        <w:t xml:space="preserve">4.4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6.0</w:t>
            </w:r>
          </w:p>
        </w:tc>
      </w:tr>
      <w:tr>
        <w:tc>
          <w:tcPr/>
          <w:p>
            <w:pPr>
              <w:pStyle w:val="Compact"/>
              <w:jc w:val="left"/>
            </w:pPr>
            <w:r>
              <w:t xml:space="preserve">Scope 3 (Category 1)</w:t>
            </w:r>
          </w:p>
        </w:tc>
        <w:tc>
          <w:tcPr/>
          <w:p>
            <w:pPr>
              <w:pStyle w:val="Compact"/>
              <w:jc w:val="left"/>
            </w:pPr>
            <w:r>
              <w:t xml:space="preserve">Materials (Purchased goods and services)</w:t>
            </w:r>
          </w:p>
        </w:tc>
        <w:tc>
          <w:tcPr/>
          <w:p>
            <w:pPr>
              <w:pStyle w:val="Compact"/>
              <w:jc w:val="left"/>
            </w:pPr>
            <w:r>
              <w:t xml:space="preserve">3.06</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0.085</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10.102</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-0.935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48.312</w:t>
            </w:r>
          </w:p>
        </w:tc>
      </w:tr>
    </w:tbl>
    <w:p>
      <w:pPr>
        <w:pStyle w:val="BodyText"/>
      </w:pPr>
      <w:r>
        <w:rPr>
          <w:bCs/>
          <w:b/>
        </w:rPr>
        <w:t xml:space="preserve">Total Product Carbon Footprint (PCF) for 1.0 unit of lsmxqmjvle: 48.312 kg CO2e.</w:t>
      </w:r>
    </w:p>
    <w:bookmarkEnd w:id="48"/>
    <w:bookmarkStart w:id="49" w:name="lsr-update-land-sector-and-removals"/>
    <w:p>
      <w:pPr>
        <w:pStyle w:val="Heading3"/>
      </w:pPr>
      <w:r>
        <w:t xml:space="preserve">4.5 2026 LSR Update (Land Sector and Removals)</w:t>
      </w:r>
    </w:p>
    <w:p>
      <w:pPr>
        <w:pStyle w:val="FirstParagraph"/>
      </w:pPr>
      <w:r>
        <w:t xml:space="preserve">The 2026 Land Sector and Removals (LSR) Standard requires companies to account for emissions and removals from land use and land-use change. While specific land use data for raw material sourcing or manufacturing site operations was not provided in detail, the methodology acknowledges the importance of this standard. For future iterations, a more granular analysis of the land footprint of sourced materials (e.g., bio-based plastics, timber) and operational land use would be integrated to quantify direct LSR impacts and removals. Given the current data, no direct LSR-specific emissions or removals are numerically quantified but compliance with the standard\'s principles is noted.</w:t>
      </w:r>
    </w:p>
    <w:bookmarkEnd w:id="49"/>
    <w:bookmarkStart w:id="50" w:name="scope-3-compliance-95-coverage"/>
    <w:p>
      <w:pPr>
        <w:pStyle w:val="Heading3"/>
      </w:pPr>
      <w:r>
        <w:t xml:space="preserve">4.6 Scope 3 Compliance (95% Coverage)</w:t>
      </w:r>
    </w:p>
    <w:p>
      <w:pPr>
        <w:pStyle w:val="FirstParagraph"/>
      </w:pPr>
      <w:r>
        <w:t xml:space="preserve">Based on the detailed analysis covering materials (Category 1), upstream transportation (Category 4), downstream transportation (Category 9), the use phase (Category 11), and end-of-life (Category 12), the Scope 3 emissions components account for approximately 87.5% of the total PCF (42.312 kg CO2e / 48.312 kg CO2e). This calculation relies on the completeness of the provided BOM and assumptions for transport and use phase. To ensure 95% coverage for Scope 3 as per 2026 requirements, further investigation into other relevant Scope 3 categories such as waste generated in operations (beyond product EoL), business travel, employee commuting, and capital goods may be necessary to capture all potential indirect emissions from the company\'s value chain. However, for a *Product* Carbon Footprint, the most significant categories directly related to the product\'s lifecycle are largely covered.</w:t>
      </w:r>
    </w:p>
    <w:p>
      <w:r>
        <w:pict>
          <v:rect style="width:0;height:1.5pt" o:hralign="center" o:hrstd="t" o:hr="t"/>
        </w:pict>
      </w:r>
    </w:p>
    <w:bookmarkEnd w:id="50"/>
    <w:bookmarkEnd w:id="51"/>
    <w:bookmarkStart w:id="55" w:name="review-report"/>
    <w:p>
      <w:pPr>
        <w:pStyle w:val="Heading2"/>
      </w:pPr>
      <w:r>
        <w:t xml:space="preserve">5. Review &amp; Report</w:t>
      </w:r>
    </w:p>
    <w:bookmarkStart w:id="52" w:name="key-findings-and-hotspots"/>
    <w:p>
      <w:pPr>
        <w:pStyle w:val="Heading3"/>
      </w:pPr>
      <w:r>
        <w:t xml:space="preserve">5.1 Key Findings and Hotspots</w:t>
      </w:r>
    </w:p>
    <w:p>
      <w:pPr>
        <w:pStyle w:val="FirstParagraph"/>
      </w:pPr>
      <w:r>
        <w:t xml:space="preserve">The Product Carbon Footprint for one unit of lsmxqmjvle is</w:t>
      </w:r>
      <w:r>
        <w:t xml:space="preserve"> </w:t>
      </w:r>
      <w:r>
        <w:rPr>
          <w:bCs/>
          <w:b/>
        </w:rPr>
        <w:t xml:space="preserve">48.312 kg CO2e</w:t>
      </w:r>
      <w:r>
        <w:t xml:space="preserve">. Key hotspots identified in this analysis are:</w:t>
      </w:r>
    </w:p>
    <w:p>
      <w:pPr>
        <w:numPr>
          <w:ilvl w:val="0"/>
          <w:numId w:val="1011"/>
        </w:numPr>
        <w:pStyle w:val="Compact"/>
      </w:pPr>
      <w:r>
        <w:rPr>
          <w:bCs/>
          <w:b/>
        </w:rPr>
        <w:t xml:space="preserve">Use Phase (62.1% of total PCF):</w:t>
      </w:r>
      <w:r>
        <w:t xml:space="preserve"> </w:t>
      </w:r>
      <w:r>
        <w:t xml:space="preserve">The energy consumption during the product\'s 5-year lifespan is the most significant contributor to its overall footprint. This is primarily driven by the assumed energy consumption of 10 kWh/year and the carbon intensity of the electricity grid in China.</w:t>
      </w:r>
    </w:p>
    <w:p>
      <w:pPr>
        <w:numPr>
          <w:ilvl w:val="0"/>
          <w:numId w:val="1011"/>
        </w:numPr>
        <w:pStyle w:val="Compact"/>
      </w:pPr>
      <w:r>
        <w:rPr>
          <w:bCs/>
          <w:b/>
        </w:rPr>
        <w:t xml:space="preserve">Downstream Transportation (20.9% of total PCF):</w:t>
      </w:r>
      <w:r>
        <w:t xml:space="preserve"> </w:t>
      </w:r>
      <w:r>
        <w:t xml:space="preserve">Specifically, the assumed last-mile parcel van delivery contributes substantially to this category, highlighting the impact of delivery logistics for individual units.</w:t>
      </w:r>
    </w:p>
    <w:p>
      <w:pPr>
        <w:numPr>
          <w:ilvl w:val="0"/>
          <w:numId w:val="1011"/>
        </w:numPr>
        <w:pStyle w:val="Compact"/>
      </w:pPr>
      <w:r>
        <w:rPr>
          <w:bCs/>
          <w:b/>
        </w:rPr>
        <w:t xml:space="preserve">Manufacturing / Production (12.4% of total PCF):</w:t>
      </w:r>
      <w:r>
        <w:t xml:space="preserve"> </w:t>
      </w:r>
      <w:r>
        <w:t xml:space="preserve">Despite 60% renewable energy usage, the remaining grid electricity still contributes a notable portion due to its carbon intensity.</w:t>
      </w:r>
    </w:p>
    <w:p>
      <w:pPr>
        <w:numPr>
          <w:ilvl w:val="0"/>
          <w:numId w:val="1011"/>
        </w:numPr>
        <w:pStyle w:val="Compact"/>
      </w:pPr>
      <w:r>
        <w:rPr>
          <w:bCs/>
          <w:b/>
        </w:rPr>
        <w:t xml:space="preserve">Materials (6.3% of total PCF):</w:t>
      </w:r>
      <w:r>
        <w:t xml:space="preserve"> </w:t>
      </w:r>
      <w:r>
        <w:t xml:space="preserve">While the circuit board and plastic casing contribute individually, their overall impact is less than the use and transport phases for this product.</w:t>
      </w:r>
    </w:p>
    <w:p>
      <w:pPr>
        <w:numPr>
          <w:ilvl w:val="0"/>
          <w:numId w:val="1011"/>
        </w:numPr>
        <w:pStyle w:val="Compact"/>
      </w:pPr>
      <w:r>
        <w:rPr>
          <w:bCs/>
          <w:b/>
        </w:rPr>
        <w:t xml:space="preserve">End-of-Life:</w:t>
      </w:r>
      <w:r>
        <w:t xml:space="preserve"> </w:t>
      </w:r>
      <w:r>
        <w:t xml:space="preserve">The high recyclability percentage and the active take-back program result in a net carbon removal, demonstrating the positive impact of circular economy initiatives.</w:t>
      </w:r>
    </w:p>
    <w:bookmarkEnd w:id="52"/>
    <w:bookmarkStart w:id="53"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energy usage, and product lifespan. However, certain limitations and assumptions should be noted:</w:t>
      </w:r>
    </w:p>
    <w:p>
      <w:pPr>
        <w:numPr>
          <w:ilvl w:val="0"/>
          <w:numId w:val="1012"/>
        </w:numPr>
        <w:pStyle w:val="Compact"/>
      </w:pPr>
      <w:r>
        <w:rPr>
          <w:bCs/>
          <w:b/>
        </w:rPr>
        <w:t xml:space="preserve">Assumed Emission Factors:</w:t>
      </w:r>
      <w:r>
        <w:t xml:space="preserve"> </w:t>
      </w:r>
      <w:r>
        <w:t xml:space="preserve">Generic, industry-average emission factors from databases like IEA, DEFRA, and Ecoinvent have been used for processes where specific factors were not provided (e.g., transport modes, grid electricity).</w:t>
      </w:r>
    </w:p>
    <w:p>
      <w:pPr>
        <w:numPr>
          <w:ilvl w:val="0"/>
          <w:numId w:val="1012"/>
        </w:numPr>
        <w:pStyle w:val="Compact"/>
      </w:pPr>
      <w:r>
        <w:rPr>
          <w:bCs/>
          <w:b/>
        </w:rPr>
        <w:t xml:space="preserve">Transport Mode and Distance:</w:t>
      </w:r>
      <w:r>
        <w:t xml:space="preserve"> </w:t>
      </w:r>
      <w:r>
        <w:t xml:space="preserve">Specific modes for "Select Mode" and "Delivery Type" were assumed, as were additional upstream and last-mile distances. Variations in actual logistics could alter these emissions.</w:t>
      </w:r>
    </w:p>
    <w:p>
      <w:pPr>
        <w:numPr>
          <w:ilvl w:val="0"/>
          <w:numId w:val="1012"/>
        </w:numPr>
        <w:pStyle w:val="Compact"/>
      </w:pPr>
      <w:r>
        <w:rPr>
          <w:bCs/>
          <w:b/>
        </w:rPr>
        <w:t xml:space="preserve">LSR Data:</w:t>
      </w:r>
      <w:r>
        <w:t xml:space="preserve"> </w:t>
      </w:r>
      <w:r>
        <w:t xml:space="preserve">The lack of detailed land use and land-use change data prevents a quantitative application of the 2026 LSR Standard, though its principles are acknowledged.</w:t>
      </w:r>
    </w:p>
    <w:p>
      <w:pPr>
        <w:numPr>
          <w:ilvl w:val="0"/>
          <w:numId w:val="1012"/>
        </w:numPr>
        <w:pStyle w:val="Compact"/>
      </w:pPr>
      <w:r>
        <w:rPr>
          <w:bCs/>
          <w:b/>
        </w:rPr>
        <w:t xml:space="preserve">Scope 3 Coverage:</w:t>
      </w:r>
      <w:r>
        <w:t xml:space="preserve"> </w:t>
      </w:r>
      <w:r>
        <w:t xml:space="preserve">While significant product-related Scope 3 categories are covered, achieving a precise 95% coverage for the *corporate* Scope 3 footprint would necessitate deeper investigation into all 15 GHG Protocol Scope 3 categories, which may go beyond the direct scope of a product-specific analysis for some categories (e.g., investments, business travel).</w:t>
      </w:r>
    </w:p>
    <w:bookmarkEnd w:id="53"/>
    <w:bookmarkStart w:id="54" w:name="recommendations"/>
    <w:p>
      <w:pPr>
        <w:pStyle w:val="Heading3"/>
      </w:pPr>
      <w:r>
        <w:t xml:space="preserve">5.3 Recommendations</w:t>
      </w:r>
    </w:p>
    <w:p>
      <w:pPr>
        <w:pStyle w:val="FirstParagraph"/>
      </w:pPr>
      <w:r>
        <w:t xml:space="preserve">To further reduce the product carbon footprint of lsmxqmjvle, the following recommendations are made:</w:t>
      </w:r>
    </w:p>
    <w:p>
      <w:pPr>
        <w:numPr>
          <w:ilvl w:val="0"/>
          <w:numId w:val="1013"/>
        </w:numPr>
        <w:pStyle w:val="Compact"/>
      </w:pPr>
      <w:r>
        <w:rPr>
          <w:bCs/>
          <w:b/>
        </w:rPr>
        <w:t xml:space="preserve">Optimize Use Phase Efficiency:</w:t>
      </w:r>
      <w:r>
        <w:t xml:space="preserve"> </w:t>
      </w:r>
      <w:r>
        <w:t xml:space="preserve">Investigate opportunities to further reduce the product\'s energy consumption during its lifespan or encourage the use of renewable energy by end-users.</w:t>
      </w:r>
    </w:p>
    <w:p>
      <w:pPr>
        <w:numPr>
          <w:ilvl w:val="0"/>
          <w:numId w:val="1013"/>
        </w:numPr>
        <w:pStyle w:val="Compact"/>
      </w:pPr>
      <w:r>
        <w:rPr>
          <w:bCs/>
          <w:b/>
        </w:rPr>
        <w:t xml:space="preserve">Improve Downstream Logistics:</w:t>
      </w:r>
      <w:r>
        <w:t xml:space="preserve"> </w:t>
      </w:r>
      <w:r>
        <w:t xml:space="preserve">Explore more carbon-efficient last-mile delivery options, optimize delivery routes, or consider consolidated shipping to reduce the impact of product distribution.</w:t>
      </w:r>
    </w:p>
    <w:p>
      <w:pPr>
        <w:numPr>
          <w:ilvl w:val="0"/>
          <w:numId w:val="1013"/>
        </w:numPr>
        <w:pStyle w:val="Compact"/>
      </w:pPr>
      <w:r>
        <w:rPr>
          <w:bCs/>
          <w:b/>
        </w:rPr>
        <w:t xml:space="preserve">Enhance Renewable Energy Adoption:</w:t>
      </w:r>
      <w:r>
        <w:t xml:space="preserve"> </w:t>
      </w:r>
      <w:r>
        <w:t xml:space="preserve">Increase the percentage of renewable energy used in manufacturing operations to further reduce Scope 2 emissions.</w:t>
      </w:r>
    </w:p>
    <w:p>
      <w:pPr>
        <w:numPr>
          <w:ilvl w:val="0"/>
          <w:numId w:val="1013"/>
        </w:numPr>
        <w:pStyle w:val="Compact"/>
      </w:pPr>
      <w:r>
        <w:rPr>
          <w:bCs/>
          <w:b/>
        </w:rPr>
        <w:t xml:space="preserve">Material Optimization:</w:t>
      </w:r>
      <w:r>
        <w:t xml:space="preserve"> </w:t>
      </w:r>
      <w:r>
        <w:t xml:space="preserve">Continuously review and optimize the Bill of Materials for lower-carbon alternatives, even though it is not the largest hotspot, every improvement contributes.</w:t>
      </w:r>
    </w:p>
    <w:p>
      <w:pPr>
        <w:numPr>
          <w:ilvl w:val="0"/>
          <w:numId w:val="1013"/>
        </w:numPr>
        <w:pStyle w:val="Compact"/>
      </w:pPr>
      <w:r>
        <w:rPr>
          <w:bCs/>
          <w:b/>
        </w:rPr>
        <w:t xml:space="preserve">Expand Circularity:</w:t>
      </w:r>
      <w:r>
        <w:t xml:space="preserve"> </w:t>
      </w:r>
      <w:r>
        <w:t xml:space="preserve">Continue to strengthen take-back programs and explore innovative recycling technologies to maximize material recovery and circularity benefits.</w:t>
      </w:r>
    </w:p>
    <w:p>
      <w:r>
        <w:pict>
          <v:rect style="width:0;height:1.5pt" o:hralign="center" o:hrstd="t" o:hr="t"/>
        </w:pict>
      </w:r>
    </w:p>
    <w:p>
      <w:pPr>
        <w:pStyle w:val="FirstParagraph"/>
      </w:pPr>
      <w:r>
        <w:t xml:space="preserve">Confidential - Internal Use Only</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lsmxqmjvle</dc:title>
  <dc:creator/>
  <dc:description>Detailed Product Carbon Footprint (PCF) analysis report for lsmxqmjvle by idzhduvjgh, Senior Sustainability Consultant at zturiflxrq, adhering to GHG Protocol and 2026 LSR update.</dc:description>
  <cp:keywords/>
  <dcterms:created xsi:type="dcterms:W3CDTF">2026-07-16T04:28:44Z</dcterms:created>
  <dcterms:modified xsi:type="dcterms:W3CDTF">2026-07-16T04:28:44Z</dcterms:modified>
</cp:coreProperties>
</file>

<file path=docProps/custom.xml><?xml version="1.0" encoding="utf-8"?>
<Properties xmlns="http://schemas.openxmlformats.org/officeDocument/2006/custom-properties" xmlns:vt="http://schemas.openxmlformats.org/officeDocument/2006/docPropsVTypes"/>
</file>