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lqljjpxhpu</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w:t>
      </w:r>
      <w:r>
        <w:t xml:space="preserve"> </w:t>
      </w:r>
      <w:r>
        <w:rPr>
          <w:bCs/>
          <w:b/>
        </w:rPr>
        <w:t xml:space="preserve">lqljjpxhpu</w:t>
      </w:r>
    </w:p>
    <w:p>
      <w:pPr>
        <w:pStyle w:val="BodyText"/>
      </w:pPr>
      <w:r>
        <w:t xml:space="preserve">Company:</w:t>
      </w:r>
      <w:r>
        <w:t xml:space="preserve"> </w:t>
      </w:r>
      <w:r>
        <w:rPr>
          <w:bCs/>
          <w:b/>
        </w:rPr>
        <w:t xml:space="preserve">rrwpxfrhiy</w:t>
      </w:r>
    </w:p>
    <w:p>
      <w:pPr>
        <w:pStyle w:val="BodyText"/>
      </w:pPr>
      <w:r>
        <w:t xml:space="preserve">Senior Sustainability Consultant:</w:t>
      </w:r>
      <w:r>
        <w:t xml:space="preserve"> </w:t>
      </w:r>
      <w:r>
        <w:rPr>
          <w:bCs/>
          <w:b/>
        </w:rPr>
        <w:t xml:space="preserve">hwvpojxsky</w:t>
      </w:r>
    </w:p>
    <w:p>
      <w:pPr>
        <w:pStyle w:val="BodyText"/>
      </w:pPr>
      <w:r>
        <w:t xml:space="preserve">Accounting Standard:</w:t>
      </w:r>
      <w:r>
        <w:t xml:space="preserve"> </w:t>
      </w:r>
      <w:r>
        <w:rPr>
          <w:bCs/>
          <w:b/>
        </w:rPr>
        <w:t xml:space="preserve">GHG Protocol</w:t>
      </w:r>
    </w:p>
    <w:p>
      <w:pPr>
        <w:pStyle w:val="BodyText"/>
      </w:pPr>
      <w:r>
        <w:rPr>
          <w:iCs/>
          <w:i/>
        </w:rPr>
        <w:t xml:space="preserve">Disclaimer: This report is generated based on available data and industry standards. While efforts have been made to ensure accuracy, the actual environmental impact may vary depending on specific operational details, supplier data, and evolving methodologies.</w:t>
      </w:r>
    </w:p>
    <w:bookmarkEnd w:id="20"/>
    <w:bookmarkStart w:id="47" w:name="X421d205b8fead72f711ecf29ac9ab3886ea505c"/>
    <w:p>
      <w:pPr>
        <w:pStyle w:val="Heading1"/>
      </w:pPr>
      <w:r>
        <w:t xml:space="preserve">Product Carbon Footprint Analysis Report: lqljjpxhpu</w:t>
      </w:r>
    </w:p>
    <w:p>
      <w:pPr>
        <w:pStyle w:val="FirstParagraph"/>
      </w:pPr>
      <w:r>
        <w:rPr>
          <w:bCs/>
          <w:b/>
        </w:rPr>
        <w:t xml:space="preserve">Generated Date:</w:t>
      </w:r>
      <w:r>
        <w:t xml:space="preserve"> </w:t>
      </w:r>
      <w:r>
        <w:t xml:space="preserve">May 27,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lqljjpxhpu</w:t>
      </w:r>
      <w:r>
        <w:t xml:space="preserve">, manufactured by</w:t>
      </w:r>
      <w:r>
        <w:t xml:space="preserve"> </w:t>
      </w:r>
      <w:r>
        <w:rPr>
          <w:bCs/>
          <w:b/>
        </w:rPr>
        <w:t xml:space="preserve">rrwpxfrhiy</w:t>
      </w:r>
      <w:r>
        <w:t xml:space="preserve">. Conducted by</w:t>
      </w:r>
      <w:r>
        <w:t xml:space="preserve"> </w:t>
      </w:r>
      <w:r>
        <w:rPr>
          <w:bCs/>
          <w:b/>
        </w:rPr>
        <w:t xml:space="preserve">hwvpojxsky</w:t>
      </w:r>
      <w:r>
        <w:t xml:space="preserve">, Senior Sustainability Consultant specializing in GHG Protocol, this assessment quantifies the greenhouse gas (GHG) emissions across the product\'s lifecycle from raw material acquisition to end-of-life. The analysis adheres to the Greenhouse Gas Protocol\'s standards, categorizing emissions into Scope 1, 2, and 3, and incorporates considerations for the forthcoming 2026 Land Sector and Removals (LSR) Standard and stringent Scope 3 coverage requirements. The aim is to identify key emission hotspots and provide actionable insights for decarbonization.</w:t>
      </w:r>
    </w:p>
    <w:p>
      <w:r>
        <w:pict>
          <v:rect style="width:0;height:1.5pt" o:hralign="center" o:hrstd="t" o:hr="t"/>
        </w:pict>
      </w:r>
    </w:p>
    <w:bookmarkEnd w:id="21"/>
    <w:bookmarkStart w:id="27" w:name="methodology-and-scope-definition"/>
    <w:p>
      <w:pPr>
        <w:pStyle w:val="Heading2"/>
      </w:pPr>
      <w:r>
        <w:t xml:space="preserve">1. Methodology and Scope Definition</w:t>
      </w:r>
    </w:p>
    <w:p>
      <w:pPr>
        <w:pStyle w:val="FirstParagraph"/>
      </w:pPr>
      <w:r>
        <w:t xml:space="preserve">The Product Carbon Footprint (PCF) analysis for</w:t>
      </w:r>
      <w:r>
        <w:t xml:space="preserve"> </w:t>
      </w:r>
      <w:r>
        <w:rPr>
          <w:bCs/>
          <w:b/>
        </w:rPr>
        <w:t xml:space="preserve">lqljjpxhpu</w:t>
      </w:r>
      <w:r>
        <w:t xml:space="preserve"> </w:t>
      </w:r>
      <w:r>
        <w:t xml:space="preserve">follows the five-step methodology prescribed by the GHG Protocol.</w:t>
      </w:r>
    </w:p>
    <w:bookmarkStart w:id="22" w:name="methodology-to-follow"/>
    <w:p>
      <w:pPr>
        <w:pStyle w:val="Heading3"/>
      </w:pPr>
      <w:r>
        <w:t xml:space="preserve">1.1. Methodology to Follow:</w:t>
      </w:r>
    </w:p>
    <w:p>
      <w:pPr>
        <w:numPr>
          <w:ilvl w:val="0"/>
          <w:numId w:val="1001"/>
        </w:numPr>
        <w:pStyle w:val="Compact"/>
      </w:pPr>
      <w:r>
        <w:rPr>
          <w:bCs/>
          <w:b/>
        </w:rPr>
        <w:t xml:space="preserve">Define Scope:</w:t>
      </w:r>
      <w:r>
        <w:t xml:space="preserve"> </w:t>
      </w:r>
      <w:r>
        <w:t xml:space="preserve">Establish the functional unit, system boundaries, geographic scope, and allocation principles.</w:t>
      </w:r>
    </w:p>
    <w:p>
      <w:pPr>
        <w:numPr>
          <w:ilvl w:val="0"/>
          <w:numId w:val="1001"/>
        </w:numPr>
        <w:pStyle w:val="Compact"/>
      </w:pPr>
      <w:r>
        <w:rPr>
          <w:bCs/>
          <w:b/>
        </w:rPr>
        <w:t xml:space="preserve">Map Lifecycle:</w:t>
      </w:r>
      <w:r>
        <w:t xml:space="preserve"> </w:t>
      </w:r>
      <w:r>
        <w:t xml:space="preserve">Identify all relevant lifecycle inventory stages.</w:t>
      </w:r>
    </w:p>
    <w:p>
      <w:pPr>
        <w:numPr>
          <w:ilvl w:val="0"/>
          <w:numId w:val="1001"/>
        </w:numPr>
        <w:pStyle w:val="Compact"/>
      </w:pPr>
      <w:r>
        <w:rPr>
          <w:bCs/>
          <w:b/>
        </w:rPr>
        <w:t xml:space="preserve">Collect Data:</w:t>
      </w:r>
      <w:r>
        <w:t xml:space="preserve"> </w:t>
      </w:r>
      <w:r>
        <w:t xml:space="preserve">Gather primary and secondary data points for each stage.</w:t>
      </w:r>
    </w:p>
    <w:p>
      <w:pPr>
        <w:numPr>
          <w:ilvl w:val="0"/>
          <w:numId w:val="1001"/>
        </w:numPr>
        <w:pStyle w:val="Compact"/>
      </w:pPr>
      <w:r>
        <w:rPr>
          <w:bCs/>
          <w:b/>
        </w:rPr>
        <w:t xml:space="preserve">Calculate Emissions:</w:t>
      </w:r>
      <w:r>
        <w:t xml:space="preserve"> </w:t>
      </w:r>
      <w:r>
        <w:t xml:space="preserve">Quantify emissions using activity data multiplied by appropriate emission factors (Activity × Emission Factor = CO2e).</w:t>
      </w:r>
    </w:p>
    <w:p>
      <w:pPr>
        <w:numPr>
          <w:ilvl w:val="0"/>
          <w:numId w:val="1001"/>
        </w:numPr>
        <w:pStyle w:val="Compact"/>
      </w:pPr>
      <w:r>
        <w:rPr>
          <w:bCs/>
          <w:b/>
        </w:rPr>
        <w:t xml:space="preserve">Review &amp; Report:</w:t>
      </w:r>
      <w:r>
        <w:t xml:space="preserve"> </w:t>
      </w:r>
      <w:r>
        <w:t xml:space="preserve">Identify emission hotspots, assess data reliability, and formulate recommendations.</w:t>
      </w:r>
    </w:p>
    <w:bookmarkEnd w:id="22"/>
    <w:bookmarkStart w:id="23" w:name="Xb6c3fa1ffe92f620102fa3137c310f9b39b1190"/>
    <w:p>
      <w:pPr>
        <w:pStyle w:val="Heading3"/>
      </w:pPr>
      <w:r>
        <w:t xml:space="preserve">1.2. Accounting Standard Adherence: GHG Protocol</w:t>
      </w:r>
    </w:p>
    <w:p>
      <w:pPr>
        <w:pStyle w:val="FirstParagraph"/>
      </w:pPr>
      <w:r>
        <w:t xml:space="preserve">This analysis strictly adheres to the</w:t>
      </w:r>
      <w:r>
        <w:t xml:space="preserve"> </w:t>
      </w:r>
      <w:r>
        <w:rPr>
          <w:bCs/>
          <w:b/>
        </w:rPr>
        <w:t xml:space="preserve">GHG Protocol</w:t>
      </w:r>
      <w:r>
        <w:t xml:space="preserve">, the world\'s most widely used set of greenhouse gas accounting standards. Emissions are categorized as follows:</w:t>
      </w:r>
    </w:p>
    <w:p>
      <w:pPr>
        <w:numPr>
          <w:ilvl w:val="0"/>
          <w:numId w:val="1002"/>
        </w:numPr>
        <w:pStyle w:val="Compact"/>
      </w:pPr>
      <w:r>
        <w:rPr>
          <w:bCs/>
          <w:b/>
        </w:rPr>
        <w:t xml:space="preserve">Scope 1: Direct GHG Emissions</w:t>
      </w:r>
      <w:r>
        <w:t xml:space="preserve"> </w:t>
      </w:r>
      <w:r>
        <w:t xml:space="preserve">– Emissions from sources owned or controlled by the company.</w:t>
      </w:r>
    </w:p>
    <w:p>
      <w:pPr>
        <w:numPr>
          <w:ilvl w:val="0"/>
          <w:numId w:val="1002"/>
        </w:numPr>
        <w:pStyle w:val="Compact"/>
      </w:pPr>
      <w:r>
        <w:rPr>
          <w:bCs/>
          <w:b/>
        </w:rPr>
        <w:t xml:space="preserve">Scope 2: Indirect GHG Emissions from Purchased Energy</w:t>
      </w:r>
      <w:r>
        <w:t xml:space="preserve"> </w:t>
      </w:r>
      <w:r>
        <w:t xml:space="preserve">– Emissions from the generation of purchased electricity, steam, heat, or cooling.</w:t>
      </w:r>
    </w:p>
    <w:p>
      <w:pPr>
        <w:numPr>
          <w:ilvl w:val="0"/>
          <w:numId w:val="1002"/>
        </w:numPr>
        <w:pStyle w:val="Compact"/>
      </w:pPr>
      <w:r>
        <w:rPr>
          <w:bCs/>
          <w:b/>
        </w:rPr>
        <w:t xml:space="preserve">Scope 3: Other Indirect GHG Emissions (Value Chain)</w:t>
      </w:r>
      <w:r>
        <w:t xml:space="preserve"> </w:t>
      </w:r>
      <w:r>
        <w:t xml:space="preserve">– All other indirect emissions that occur in the value chain of the reporting company, both upstream and downstream. This often represents the largest share of a company\'s total carbon footprint.</w:t>
      </w:r>
    </w:p>
    <w:bookmarkEnd w:id="23"/>
    <w:bookmarkStart w:id="24" w:name="lsr-update-consideration"/>
    <w:p>
      <w:pPr>
        <w:pStyle w:val="Heading3"/>
      </w:pPr>
      <w:r>
        <w:t xml:space="preserve">1.3. 2026 LSR Update Consideration</w:t>
      </w:r>
    </w:p>
    <w:p>
      <w:pPr>
        <w:pStyle w:val="FirstParagraph"/>
      </w:pPr>
      <w:r>
        <w:t xml:space="preserve">The Land Sector and Removals (LSR) Standard, published by the GHG Protocol on January 30, 2026, provides accounting requirements and guidance for quantifying, reporting, and tracking land emissions and CO2 removals, effective January 1, 2027. While the product</w:t>
      </w:r>
      <w:r>
        <w:t xml:space="preserve"> </w:t>
      </w:r>
      <w:r>
        <w:rPr>
          <w:bCs/>
          <w:b/>
        </w:rPr>
        <w:t xml:space="preserve">lqljjpxhpu</w:t>
      </w:r>
      <w:r>
        <w:t xml:space="preserve"> </w:t>
      </w:r>
      <w:r>
        <w:t xml:space="preserve">does not directly involve significant land-sector activities in its immediate production and use as specified, the principles of the LSR Standard would be integrated for any future assessments involving raw materials from agricultural or forestry sources, or where technological CO2 removals are implemented in the value chain.</w:t>
      </w:r>
    </w:p>
    <w:bookmarkEnd w:id="24"/>
    <w:bookmarkStart w:id="25" w:name="scope-3-compliance-2026-requirements"/>
    <w:p>
      <w:pPr>
        <w:pStyle w:val="Heading3"/>
      </w:pPr>
      <w:r>
        <w:t xml:space="preserve">1.4. Scope 3 Compliance (2026 Requirements)</w:t>
      </w:r>
    </w:p>
    <w:p>
      <w:pPr>
        <w:pStyle w:val="FirstParagraph"/>
      </w:pPr>
      <w:r>
        <w:t xml:space="preserve">The forthcoming 2026 revisions to the GHG Protocol\'s Scope 3 Standard propose a prescriptive completeness requirement, mandating companies to account for at least 95% of total required Scope 3 emissions. This report is designed to meet this stringent coverage, utilizing detailed Bill of Materials (BOM) and logistics data to ensure comprehensive upstream and downstream emission quantification.</w:t>
      </w:r>
    </w:p>
    <w:bookmarkEnd w:id="25"/>
    <w:bookmarkStart w:id="26" w:name="defined-scope-parameters"/>
    <w:p>
      <w:pPr>
        <w:pStyle w:val="Heading3"/>
      </w:pPr>
      <w:r>
        <w:t xml:space="preserve">1.5. Defined Scope Parameters:</w:t>
      </w:r>
    </w:p>
    <w:p>
      <w:pPr>
        <w:numPr>
          <w:ilvl w:val="0"/>
          <w:numId w:val="1003"/>
        </w:numPr>
        <w:pStyle w:val="Compact"/>
      </w:pPr>
      <w:r>
        <w:rPr>
          <w:bCs/>
          <w:b/>
        </w:rPr>
        <w:t xml:space="preserve">Functional Unit:</w:t>
      </w:r>
      <w:r>
        <w:t xml:space="preserve"> </w:t>
      </w:r>
      <w:r>
        <w:t xml:space="preserve">1.0 unit of lqljjpxhpu</w:t>
      </w:r>
    </w:p>
    <w:p>
      <w:pPr>
        <w:numPr>
          <w:ilvl w:val="0"/>
          <w:numId w:val="1003"/>
        </w:numPr>
        <w:pStyle w:val="Compact"/>
      </w:pPr>
      <w:r>
        <w:rPr>
          <w:bCs/>
          <w:b/>
        </w:rPr>
        <w:t xml:space="preserve">System Boundary:</w:t>
      </w:r>
      <w:r>
        <w:t xml:space="preserve"> </w:t>
      </w:r>
      <w:r>
        <w:t xml:space="preserve">Cradle-to-grave (factory_gate focus for immediate production, but extends to use and end-of-life)</w:t>
      </w:r>
    </w:p>
    <w:p>
      <w:pPr>
        <w:numPr>
          <w:ilvl w:val="0"/>
          <w:numId w:val="1003"/>
        </w:numPr>
        <w:pStyle w:val="Compact"/>
      </w:pPr>
      <w:r>
        <w:rPr>
          <w:bCs/>
          <w:b/>
        </w:rPr>
        <w:t xml:space="preserve">Geographic Scope:</w:t>
      </w:r>
      <w:r>
        <w:t xml:space="preserve"> </w:t>
      </w:r>
      <w:r>
        <w:t xml:space="preserve">Final Production Country: China, Supply Chain Focus: Europe Focused (implies market and/or key material sourcing)</w:t>
      </w:r>
    </w:p>
    <w:p>
      <w:pPr>
        <w:numPr>
          <w:ilvl w:val="0"/>
          <w:numId w:val="1003"/>
        </w:numPr>
        <w:pStyle w:val="Compact"/>
      </w:pPr>
      <w:r>
        <w:rPr>
          <w:bCs/>
          <w:b/>
        </w:rPr>
        <w:t xml:space="preserve">Accounting Standard:</w:t>
      </w:r>
      <w:r>
        <w:t xml:space="preserve"> </w:t>
      </w:r>
      <w:r>
        <w:t xml:space="preserve">GHG Protocol</w:t>
      </w:r>
    </w:p>
    <w:p>
      <w:pPr>
        <w:numPr>
          <w:ilvl w:val="0"/>
          <w:numId w:val="1003"/>
        </w:numPr>
        <w:pStyle w:val="Compact"/>
      </w:pPr>
      <w:r>
        <w:rPr>
          <w:bCs/>
          <w:b/>
        </w:rPr>
        <w:t xml:space="preserve">Allocation:</w:t>
      </w:r>
      <w:r>
        <w:t xml:space="preserve"> </w:t>
      </w:r>
      <w:r>
        <w:t xml:space="preserve">All emissions are directly allocated to the functional unit (1.0 unit of lqljjpxhpu) as this is a product-specific assessment.</w:t>
      </w:r>
    </w:p>
    <w:p>
      <w:r>
        <w:pict>
          <v:rect style="width:0;height:1.5pt" o:hralign="center" o:hrstd="t" o:hr="t"/>
        </w:pict>
      </w:r>
    </w:p>
    <w:bookmarkEnd w:id="26"/>
    <w:bookmarkEnd w:id="27"/>
    <w:bookmarkStart w:id="34" w:name="X07cf0ea829f60a4f8fa47c00f72a11793fbe483"/>
    <w:p>
      <w:pPr>
        <w:pStyle w:val="Heading2"/>
      </w:pPr>
      <w:r>
        <w:t xml:space="preserve">2. Lifecycle Mapping (LCI Inventory Stages) &amp; 3. Data Collection</w:t>
      </w:r>
    </w:p>
    <w:p>
      <w:pPr>
        <w:pStyle w:val="FirstParagraph"/>
      </w:pPr>
      <w:r>
        <w:t xml:space="preserve">The lifecycle of</w:t>
      </w:r>
      <w:r>
        <w:t xml:space="preserve"> </w:t>
      </w:r>
      <w:r>
        <w:rPr>
          <w:bCs/>
          <w:b/>
        </w:rPr>
        <w:t xml:space="preserve">lqljjpxhpu</w:t>
      </w:r>
      <w:r>
        <w:t xml:space="preserve"> </w:t>
      </w:r>
      <w:r>
        <w:t xml:space="preserve">is mapped into several key stages to capture all relevant emissions. Data has been collected from provided parameters and supplemented with industry-standard emission factors where primary data was not available.</w:t>
      </w:r>
    </w:p>
    <w:bookmarkStart w:id="29" w:name="X403633fd46be876bc3754725a5080e524b6b845"/>
    <w:p>
      <w:pPr>
        <w:pStyle w:val="Heading3"/>
      </w:pPr>
      <w:r>
        <w:t xml:space="preserve">2.1. Materials Acquisition &amp; Production (Upstream - Scope 3, Category 1)</w:t>
      </w:r>
    </w:p>
    <w:p>
      <w:pPr>
        <w:pStyle w:val="FirstParagraph"/>
      </w:pPr>
      <w:r>
        <w:t xml:space="preserve">The Detailed Bill of Materials (BOM) for</w:t>
      </w:r>
      <w:r>
        <w:t xml:space="preserve"> </w:t>
      </w:r>
      <w:r>
        <w:rPr>
          <w:bCs/>
          <w:b/>
        </w:rPr>
        <w:t xml:space="preserve">lqljjpxhpu</w:t>
      </w:r>
      <w:r>
        <w:t xml:space="preserve"> </w:t>
      </w:r>
      <w:r>
        <w:t xml:space="preserve">is critical for assessing the material impact. The provided "Total Carbon" values are used directly for material emissions, representing pre-calculated CO2e per item.</w:t>
      </w:r>
    </w:p>
    <w:bookmarkStart w:id="28" w:name="Xb7243e2b366b8400188fca5ee68805ecc124c41"/>
    <w:p>
      <w:pPr>
        <w:pStyle w:val="Heading4"/>
      </w:pPr>
      <w:r>
        <w:t xml:space="preserve">Detailed Bill of Materials (BOM) - frpqrsks: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 Casing</w:t>
            </w:r>
          </w:p>
        </w:tc>
        <w:tc>
          <w:tcPr/>
          <w:p>
            <w:pPr>
              <w:pStyle w:val="Compact"/>
              <w:jc w:val="left"/>
            </w:pPr>
            <w:r>
              <w:t xml:space="preserve">Metals</w:t>
            </w:r>
          </w:p>
        </w:tc>
        <w:tc>
          <w:tcPr/>
          <w:p>
            <w:pPr>
              <w:pStyle w:val="Compact"/>
              <w:jc w:val="left"/>
            </w:pPr>
            <w:r>
              <w:t xml:space="preserve">Stamping</w:t>
            </w:r>
          </w:p>
        </w:tc>
        <w:tc>
          <w:tcPr/>
          <w:p>
            <w:pPr>
              <w:pStyle w:val="Compact"/>
              <w:jc w:val="left"/>
            </w:pPr>
            <w:r>
              <w:t xml:space="preserve">2</w:t>
            </w:r>
          </w:p>
        </w:tc>
        <w:tc>
          <w:tcPr/>
          <w:p>
            <w:pPr>
              <w:pStyle w:val="Compact"/>
              <w:jc w:val="left"/>
            </w:pPr>
            <w:r>
              <w:t xml:space="preserve">kg</w:t>
            </w:r>
          </w:p>
        </w:tc>
        <w:tc>
          <w:tcPr/>
          <w:p>
            <w:pPr>
              <w:pStyle w:val="Compact"/>
              <w:jc w:val="left"/>
            </w:pPr>
            <w:r>
              <w:t xml:space="preserve">2.0</w:t>
            </w:r>
          </w:p>
        </w:tc>
        <w:tc>
          <w:tcPr/>
          <w:p>
            <w:pPr>
              <w:pStyle w:val="Compact"/>
              <w:jc w:val="left"/>
            </w:pPr>
            <w:r>
              <w:t xml:space="preserve">4.00</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3.5</w:t>
            </w:r>
          </w:p>
        </w:tc>
        <w:tc>
          <w:tcPr/>
          <w:p>
            <w:pPr>
              <w:pStyle w:val="Compact"/>
              <w:jc w:val="left"/>
            </w:pPr>
            <w:r>
              <w:t xml:space="preserve">1.75</w:t>
            </w:r>
          </w:p>
        </w:tc>
      </w:tr>
      <w:tr>
        <w:tc>
          <w:tcPr/>
          <w:p>
            <w:pPr>
              <w:pStyle w:val="Compact"/>
              <w:jc w:val="left"/>
            </w:pPr>
            <w:r>
              <w:t xml:space="preserve">3</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4</w:t>
            </w:r>
          </w:p>
        </w:tc>
        <w:tc>
          <w:tcPr/>
          <w:p>
            <w:pPr>
              <w:pStyle w:val="Compact"/>
              <w:jc w:val="left"/>
            </w:pPr>
            <w:r>
              <w:t xml:space="preserve">Packaging</w:t>
            </w:r>
          </w:p>
        </w:tc>
        <w:tc>
          <w:tcPr/>
          <w:p>
            <w:pPr>
              <w:pStyle w:val="Compact"/>
              <w:jc w:val="left"/>
            </w:pPr>
            <w:r>
              <w:t xml:space="preserve">Paper/Cardboard</w:t>
            </w:r>
          </w:p>
        </w:tc>
        <w:tc>
          <w:tcPr/>
          <w:p>
            <w:pPr>
              <w:pStyle w:val="Compact"/>
              <w:jc w:val="left"/>
            </w:pPr>
            <w:r>
              <w:t xml:space="preserve">Folding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0.30</w:t>
            </w:r>
          </w:p>
        </w:tc>
      </w:tr>
    </w:tbl>
    <w:p>
      <w:pPr>
        <w:pStyle w:val="BodyText"/>
      </w:pPr>
      <w:r>
        <w:rPr>
          <w:bCs/>
          <w:b/>
        </w:rPr>
        <w:t xml:space="preserve">Total Material Mass (excluding \'unit\' items for direct mass summation):</w:t>
      </w:r>
      <w:r>
        <w:t xml:space="preserve"> </w:t>
      </w:r>
      <w:r>
        <w:t xml:space="preserve">2.8 kg</w:t>
      </w:r>
    </w:p>
    <w:p>
      <w:pPr>
        <w:pStyle w:val="BodyText"/>
      </w:pPr>
      <w:r>
        <w:rPr>
          <w:bCs/>
          <w:b/>
        </w:rPr>
        <w:t xml:space="preserve">Total Material Emissions:</w:t>
      </w:r>
      <w:r>
        <w:t xml:space="preserve"> </w:t>
      </w:r>
      <w:r>
        <w:t xml:space="preserve">7.05 kg CO2e</w:t>
      </w:r>
    </w:p>
    <w:bookmarkEnd w:id="28"/>
    <w:bookmarkEnd w:id="29"/>
    <w:bookmarkStart w:id="30" w:name="X9b13b624d5f209f4ae843e3ef235b3558b1dcd4"/>
    <w:p>
      <w:pPr>
        <w:pStyle w:val="Heading3"/>
      </w:pPr>
      <w:r>
        <w:t xml:space="preserve">2.2. Manufacturing/Production (Owned Operations - Scope 2)</w:t>
      </w:r>
    </w:p>
    <w:p>
      <w:pPr>
        <w:pStyle w:val="FirstParagraph"/>
      </w:pPr>
      <w:r>
        <w:t xml:space="preserve">This stage accounts for the energy consumed during the manufacturing processes of</w:t>
      </w:r>
      <w:r>
        <w:t xml:space="preserve"> </w:t>
      </w:r>
      <w:r>
        <w:rPr>
          <w:bCs/>
          <w:b/>
        </w:rPr>
        <w:t xml:space="preserve">lqljjpxhpu</w:t>
      </w:r>
      <w:r>
        <w:t xml:space="preserve">.</w:t>
      </w:r>
    </w:p>
    <w:p>
      <w:pPr>
        <w:numPr>
          <w:ilvl w:val="0"/>
          <w:numId w:val="1004"/>
        </w:numPr>
        <w:pStyle w:val="Compact"/>
      </w:pPr>
      <w:r>
        <w:t xml:space="preserve">Renewable Energy Usage: 70%</w:t>
      </w:r>
    </w:p>
    <w:p>
      <w:pPr>
        <w:numPr>
          <w:ilvl w:val="0"/>
          <w:numId w:val="1004"/>
        </w:numPr>
        <w:pStyle w:val="Compact"/>
      </w:pPr>
      <w:r>
        <w:t xml:space="preserve">Energy Intensity (kWh/unit): 20 kWh/unit</w:t>
      </w:r>
    </w:p>
    <w:p>
      <w:pPr>
        <w:pStyle w:val="FirstParagraph"/>
      </w:pPr>
      <w:r>
        <w:t xml:space="preserve">The electricity mix in China is characterized by a significant fossil fuel component. The emission factor for the non-renewable portion of China\'s electricity grid is estimated at 0.6 kg CO2e/kWh.</w:t>
      </w:r>
    </w:p>
    <w:bookmarkEnd w:id="30"/>
    <w:bookmarkStart w:id="31" w:name="X256b0ce28e2e15c25fda7136157be9bb3d3298a"/>
    <w:p>
      <w:pPr>
        <w:pStyle w:val="Heading3"/>
      </w:pPr>
      <w:r>
        <w:t xml:space="preserve">2.3. Transport &amp; Distribution (Upstream &amp; Downstream - Scope 3, Categories 4 &amp; 9)</w:t>
      </w:r>
    </w:p>
    <w:p>
      <w:pPr>
        <w:pStyle w:val="FirstParagraph"/>
      </w:pPr>
      <w:r>
        <w:t xml:space="preserve">Logistics play a role in the product\'s overall footprint, covering transportation from suppliers and to customers.</w:t>
      </w:r>
    </w:p>
    <w:p>
      <w:pPr>
        <w:numPr>
          <w:ilvl w:val="0"/>
          <w:numId w:val="1005"/>
        </w:numPr>
        <w:pStyle w:val="Compact"/>
      </w:pPr>
      <w:r>
        <w:t xml:space="preserve">Primary Transport Mode: Ocean Freight</w:t>
      </w:r>
    </w:p>
    <w:p>
      <w:pPr>
        <w:numPr>
          <w:ilvl w:val="0"/>
          <w:numId w:val="1005"/>
        </w:numPr>
        <w:pStyle w:val="Compact"/>
      </w:pPr>
      <w:r>
        <w:t xml:space="preserve">Primary Transport Distance: 5000 km</w:t>
      </w:r>
    </w:p>
    <w:p>
      <w:pPr>
        <w:numPr>
          <w:ilvl w:val="0"/>
          <w:numId w:val="1005"/>
        </w:numPr>
        <w:pStyle w:val="Compact"/>
      </w:pPr>
      <w:r>
        <w:t xml:space="preserve">Last-Mile Delivery Channel: Road Van</w:t>
      </w:r>
    </w:p>
    <w:p>
      <w:pPr>
        <w:numPr>
          <w:ilvl w:val="0"/>
          <w:numId w:val="1005"/>
        </w:numPr>
        <w:pStyle w:val="Compact"/>
      </w:pPr>
      <w:r>
        <w:t xml:space="preserve">Estimated Last-Mile Distance: 100 km (assumption for calculation)</w:t>
      </w:r>
    </w:p>
    <w:p>
      <w:pPr>
        <w:numPr>
          <w:ilvl w:val="0"/>
          <w:numId w:val="1005"/>
        </w:numPr>
        <w:pStyle w:val="Compact"/>
      </w:pPr>
      <w:r>
        <w:t xml:space="preserve">Total Product Mass for Transport: 2.8 kg (derived from BOM)</w:t>
      </w:r>
    </w:p>
    <w:p>
      <w:pPr>
        <w:pStyle w:val="FirstParagraph"/>
      </w:pPr>
      <w:r>
        <w:t xml:space="preserve">Emission factors for transport modes are based on industry standards:</w:t>
      </w:r>
    </w:p>
    <w:p>
      <w:pPr>
        <w:numPr>
          <w:ilvl w:val="0"/>
          <w:numId w:val="1006"/>
        </w:numPr>
        <w:pStyle w:val="Compact"/>
      </w:pPr>
      <w:r>
        <w:t xml:space="preserve">Ocean Freight Emission Factor: 0.016 kg CO2e/tkm</w:t>
      </w:r>
    </w:p>
    <w:p>
      <w:pPr>
        <w:numPr>
          <w:ilvl w:val="0"/>
          <w:numId w:val="1006"/>
        </w:numPr>
        <w:pStyle w:val="Compact"/>
      </w:pPr>
      <w:r>
        <w:t xml:space="preserve">Road Van Emission Factor (Last-Mile): 0.2 kg CO2e/tkm (estimated for lighter vehicles/loads)</w:t>
      </w:r>
    </w:p>
    <w:bookmarkEnd w:id="31"/>
    <w:bookmarkStart w:id="32" w:name="X01fffecb4d51cf9638741502492363d57dc681a"/>
    <w:p>
      <w:pPr>
        <w:pStyle w:val="Heading3"/>
      </w:pPr>
      <w:r>
        <w:t xml:space="preserve">2.4. Use Phase (Downstream - Scope 3, Category 11)</w:t>
      </w:r>
    </w:p>
    <w:p>
      <w:pPr>
        <w:pStyle w:val="FirstParagraph"/>
      </w:pPr>
      <w:r>
        <w:t xml:space="preserve">The energy consumption during the product\'s lifespan contributes to its carbon footprint.</w:t>
      </w:r>
    </w:p>
    <w:p>
      <w:pPr>
        <w:numPr>
          <w:ilvl w:val="0"/>
          <w:numId w:val="1007"/>
        </w:numPr>
        <w:pStyle w:val="Compact"/>
      </w:pPr>
      <w:r>
        <w:t xml:space="preserve">Product Lifespan: 5 years</w:t>
      </w:r>
    </w:p>
    <w:p>
      <w:pPr>
        <w:numPr>
          <w:ilvl w:val="0"/>
          <w:numId w:val="1007"/>
        </w:numPr>
        <w:pStyle w:val="Compact"/>
      </w:pPr>
      <w:r>
        <w:t xml:space="preserve">Energy Consumption in Use: 10 kWh/year</w:t>
      </w:r>
    </w:p>
    <w:p>
      <w:pPr>
        <w:pStyle w:val="FirstParagraph"/>
      </w:pPr>
      <w:r>
        <w:t xml:space="preserve">The product\'s end-users are assumed to be within Europe, aligning with the "Europe Focused" supply chain, therefore the European electricity mix is used for the use phase. The average European electricity emission factor is estimated at 0.2 kg CO2e/kWh, reflecting current decarbonization trends.</w:t>
      </w:r>
    </w:p>
    <w:bookmarkEnd w:id="32"/>
    <w:bookmarkStart w:id="33" w:name="X9c0ae82b25d76f37a2834bd60185fdb72258056"/>
    <w:p>
      <w:pPr>
        <w:pStyle w:val="Heading3"/>
      </w:pPr>
      <w:r>
        <w:t xml:space="preserve">2.5. End-of-Life (EoL) Treatment (Downstream - Scope 3, Category 12)</w:t>
      </w:r>
    </w:p>
    <w:p>
      <w:pPr>
        <w:pStyle w:val="FirstParagraph"/>
      </w:pPr>
      <w:r>
        <w:t xml:space="preserve">The EoL scenario considers the recyclability of the product and the impact of circular economy programs.</w:t>
      </w:r>
    </w:p>
    <w:p>
      <w:pPr>
        <w:numPr>
          <w:ilvl w:val="0"/>
          <w:numId w:val="1008"/>
        </w:numPr>
        <w:pStyle w:val="Compact"/>
      </w:pPr>
      <w:r>
        <w:t xml:space="preserve">Recyclability Percentage: 75%</w:t>
      </w:r>
    </w:p>
    <w:p>
      <w:pPr>
        <w:numPr>
          <w:ilvl w:val="0"/>
          <w:numId w:val="1008"/>
        </w:numPr>
        <w:pStyle w:val="Compact"/>
      </w:pPr>
      <w:r>
        <w:t xml:space="preserve">Circular/Take-back Programs: Yes, a robust take-back program for product recycling at end-of-life is in place, promoting circularity of materials.</w:t>
      </w:r>
    </w:p>
    <w:p>
      <w:pPr>
        <w:pStyle w:val="FirstParagraph"/>
      </w:pPr>
      <w:r>
        <w:t xml:space="preserve">Emission factors for EoL scenarios:</w:t>
      </w:r>
    </w:p>
    <w:p>
      <w:pPr>
        <w:numPr>
          <w:ilvl w:val="0"/>
          <w:numId w:val="1009"/>
        </w:numPr>
        <w:pStyle w:val="Compact"/>
      </w:pPr>
      <w:r>
        <w:t xml:space="preserve">Waste to Landfill Emission Factor: 0.7 kg CO2e/kg</w:t>
      </w:r>
    </w:p>
    <w:p>
      <w:pPr>
        <w:numPr>
          <w:ilvl w:val="0"/>
          <w:numId w:val="1009"/>
        </w:numPr>
        <w:pStyle w:val="Compact"/>
      </w:pPr>
      <w:r>
        <w:t xml:space="preserve">Recycling Credit (avoided emissions): -0.7 kg CO2e/kg (simplified, assumes displacement of virgin material production or landfilling)</w:t>
      </w:r>
    </w:p>
    <w:p>
      <w:r>
        <w:pict>
          <v:rect style="width:0;height:1.5pt" o:hralign="center" o:hrstd="t" o:hr="t"/>
        </w:pict>
      </w:r>
    </w:p>
    <w:bookmarkEnd w:id="33"/>
    <w:bookmarkEnd w:id="34"/>
    <w:bookmarkStart w:id="42" w:name="X439a6e6dcb43c636bf515ffaf3f59bce0bd6490"/>
    <w:p>
      <w:pPr>
        <w:pStyle w:val="Heading2"/>
      </w:pPr>
      <w:r>
        <w:t xml:space="preserve">4. Emission Calculation (Activity × Emission Factor = CO2e)</w:t>
      </w:r>
    </w:p>
    <w:bookmarkStart w:id="40" w:name="calculated-emissions-by-lifecycle-stage"/>
    <w:p>
      <w:pPr>
        <w:pStyle w:val="Heading3"/>
      </w:pPr>
      <w:r>
        <w:t xml:space="preserve">4.1. Calculated Emissions by Lifecycle Stage:</w:t>
      </w:r>
    </w:p>
    <w:bookmarkStart w:id="35" w:name="materials-acquisition-production"/>
    <w:p>
      <w:pPr>
        <w:pStyle w:val="Heading4"/>
      </w:pPr>
      <w:r>
        <w:t xml:space="preserve">Materials Acquisition &amp; Production:</w:t>
      </w:r>
    </w:p>
    <w:p>
      <w:pPr>
        <w:pStyle w:val="FirstParagraph"/>
      </w:pPr>
      <w:r>
        <w:t xml:space="preserve">Total Material Emissions: 7.05 kg CO2e (Directly from BOM \'Total Carbon\' field).</w:t>
      </w:r>
    </w:p>
    <w:bookmarkEnd w:id="35"/>
    <w:bookmarkStart w:id="36" w:name="manufacturingproduction"/>
    <w:p>
      <w:pPr>
        <w:pStyle w:val="Heading4"/>
      </w:pPr>
      <w:r>
        <w:t xml:space="preserve">Manufacturing/Production:</w:t>
      </w:r>
    </w:p>
    <w:p>
      <w:pPr>
        <w:numPr>
          <w:ilvl w:val="0"/>
          <w:numId w:val="1010"/>
        </w:numPr>
        <w:pStyle w:val="Compact"/>
      </w:pPr>
      <w:r>
        <w:t xml:space="preserve">Total Energy Consumption: 20 kWh/unit</w:t>
      </w:r>
    </w:p>
    <w:p>
      <w:pPr>
        <w:numPr>
          <w:ilvl w:val="0"/>
          <w:numId w:val="1010"/>
        </w:numPr>
        <w:pStyle w:val="Compact"/>
      </w:pPr>
      <w:r>
        <w:t xml:space="preserve">Renewable Energy Portion: 20 kWh * 0.70 = 14 kWh</w:t>
      </w:r>
    </w:p>
    <w:p>
      <w:pPr>
        <w:numPr>
          <w:ilvl w:val="0"/>
          <w:numId w:val="1010"/>
        </w:numPr>
        <w:pStyle w:val="Compact"/>
      </w:pPr>
      <w:r>
        <w:t xml:space="preserve">Non-renewable Energy Portion: 20 kWh * (1 - 0.70) = 6 kWh</w:t>
      </w:r>
    </w:p>
    <w:p>
      <w:pPr>
        <w:numPr>
          <w:ilvl w:val="0"/>
          <w:numId w:val="1010"/>
        </w:numPr>
        <w:pStyle w:val="Compact"/>
      </w:pPr>
      <w:r>
        <w:t xml:space="preserve">Emissions from Non-renewable Electricity: 6 kWh * 0.6 kg CO2e/kWh = 3.60 kg CO2e</w:t>
      </w:r>
    </w:p>
    <w:p>
      <w:pPr>
        <w:pStyle w:val="FirstParagraph"/>
      </w:pPr>
      <w:r>
        <w:rPr>
          <w:bCs/>
          <w:b/>
        </w:rPr>
        <w:t xml:space="preserve">Total Production Emissions:</w:t>
      </w:r>
      <w:r>
        <w:t xml:space="preserve"> </w:t>
      </w:r>
      <w:r>
        <w:t xml:space="preserve">3.60 kg CO2e</w:t>
      </w:r>
    </w:p>
    <w:bookmarkEnd w:id="36"/>
    <w:bookmarkStart w:id="37" w:name="transport-distribution"/>
    <w:p>
      <w:pPr>
        <w:pStyle w:val="Heading4"/>
      </w:pPr>
      <w:r>
        <w:t xml:space="preserve">Transport &amp; Distribution:</w:t>
      </w:r>
    </w:p>
    <w:p>
      <w:pPr>
        <w:numPr>
          <w:ilvl w:val="0"/>
          <w:numId w:val="1011"/>
        </w:numPr>
        <w:pStyle w:val="Compact"/>
      </w:pPr>
      <w:r>
        <w:t xml:space="preserve">Main Transport (Ocean Freight): 2.8 kg (0.0028 tonnes) * 5000 km * 0.016 kg CO2e/tkm = 0.224 kg CO2e</w:t>
      </w:r>
    </w:p>
    <w:p>
      <w:pPr>
        <w:numPr>
          <w:ilvl w:val="0"/>
          <w:numId w:val="1011"/>
        </w:numPr>
        <w:pStyle w:val="Compact"/>
      </w:pPr>
      <w:r>
        <w:t xml:space="preserve">Last-Mile Delivery (Road Van): 2.8 kg (0.0028 tonnes) * 100 km * 0.2 kg CO2e/tkm = 0.056 kg CO2e</w:t>
      </w:r>
    </w:p>
    <w:p>
      <w:pPr>
        <w:pStyle w:val="FirstParagraph"/>
      </w:pPr>
      <w:r>
        <w:rPr>
          <w:bCs/>
          <w:b/>
        </w:rPr>
        <w:t xml:space="preserve">Total Transport Emissions:</w:t>
      </w:r>
      <w:r>
        <w:t xml:space="preserve"> </w:t>
      </w:r>
      <w:r>
        <w:t xml:space="preserve">0.28 kg CO2e</w:t>
      </w:r>
    </w:p>
    <w:bookmarkEnd w:id="37"/>
    <w:bookmarkStart w:id="38" w:name="use-phase"/>
    <w:p>
      <w:pPr>
        <w:pStyle w:val="Heading4"/>
      </w:pPr>
      <w:r>
        <w:t xml:space="preserve">Use Phase:</w:t>
      </w:r>
    </w:p>
    <w:p>
      <w:pPr>
        <w:numPr>
          <w:ilvl w:val="0"/>
          <w:numId w:val="1012"/>
        </w:numPr>
        <w:pStyle w:val="Compact"/>
      </w:pPr>
      <w:r>
        <w:t xml:space="preserve">Total Energy Consumption in Use: 10 kWh/year * 5 years = 50 kWh</w:t>
      </w:r>
    </w:p>
    <w:p>
      <w:pPr>
        <w:numPr>
          <w:ilvl w:val="0"/>
          <w:numId w:val="1012"/>
        </w:numPr>
        <w:pStyle w:val="Compact"/>
      </w:pPr>
      <w:r>
        <w:t xml:space="preserve">Use Phase Emissions: 50 kWh * 0.2 kg CO2e/kWh = 10.00 kg CO2e</w:t>
      </w:r>
    </w:p>
    <w:p>
      <w:pPr>
        <w:pStyle w:val="FirstParagraph"/>
      </w:pPr>
      <w:r>
        <w:rPr>
          <w:bCs/>
          <w:b/>
        </w:rPr>
        <w:t xml:space="preserve">Total Use Phase Emissions:</w:t>
      </w:r>
      <w:r>
        <w:t xml:space="preserve"> </w:t>
      </w:r>
      <w:r>
        <w:t xml:space="preserve">10.00 kg CO2e</w:t>
      </w:r>
    </w:p>
    <w:bookmarkEnd w:id="38"/>
    <w:bookmarkStart w:id="39" w:name="end-of-life-eol-treatment"/>
    <w:p>
      <w:pPr>
        <w:pStyle w:val="Heading4"/>
      </w:pPr>
      <w:r>
        <w:t xml:space="preserve">End-of-Life (EoL) Treatment:</w:t>
      </w:r>
    </w:p>
    <w:p>
      <w:pPr>
        <w:numPr>
          <w:ilvl w:val="0"/>
          <w:numId w:val="1013"/>
        </w:numPr>
        <w:pStyle w:val="Compact"/>
      </w:pPr>
      <w:r>
        <w:t xml:space="preserve">Mass of Product: 2.8 kg</w:t>
      </w:r>
    </w:p>
    <w:p>
      <w:pPr>
        <w:numPr>
          <w:ilvl w:val="0"/>
          <w:numId w:val="1013"/>
        </w:numPr>
        <w:pStyle w:val="Compact"/>
      </w:pPr>
      <w:r>
        <w:t xml:space="preserve">Mass to be Recycled: 2.8 kg * 0.75 = 2.1 kg</w:t>
      </w:r>
    </w:p>
    <w:p>
      <w:pPr>
        <w:numPr>
          <w:ilvl w:val="0"/>
          <w:numId w:val="1013"/>
        </w:numPr>
        <w:pStyle w:val="Compact"/>
      </w:pPr>
      <w:r>
        <w:t xml:space="preserve">Mass to Landfill: 2.8 kg * (1 - 0.75) = 0.7 kg</w:t>
      </w:r>
    </w:p>
    <w:p>
      <w:pPr>
        <w:numPr>
          <w:ilvl w:val="0"/>
          <w:numId w:val="1013"/>
        </w:numPr>
        <w:pStyle w:val="Compact"/>
      </w:pPr>
      <w:r>
        <w:t xml:space="preserve">Recycling Credits: 2.1 kg * -0.7 kg CO2e/kg = -1.47 kg CO2e</w:t>
      </w:r>
    </w:p>
    <w:p>
      <w:pPr>
        <w:numPr>
          <w:ilvl w:val="0"/>
          <w:numId w:val="1013"/>
        </w:numPr>
        <w:pStyle w:val="Compact"/>
      </w:pPr>
      <w:r>
        <w:t xml:space="preserve">Landfill Emissions: 0.7 kg * 0.7 kg CO2e/kg = 0.49 kg CO2e</w:t>
      </w:r>
    </w:p>
    <w:p>
      <w:pPr>
        <w:pStyle w:val="FirstParagraph"/>
      </w:pPr>
      <w:r>
        <w:rPr>
          <w:bCs/>
          <w:b/>
        </w:rPr>
        <w:t xml:space="preserve">Total EoL Emissions:</w:t>
      </w:r>
      <w:r>
        <w:t xml:space="preserve"> </w:t>
      </w:r>
      <w:r>
        <w:t xml:space="preserve">-1.47 kg CO2e + 0.49 kg CO2e = -0.98 kg CO2e</w:t>
      </w:r>
    </w:p>
    <w:bookmarkEnd w:id="39"/>
    <w:bookmarkEnd w:id="40"/>
    <w:bookmarkStart w:id="41" w:name="ghg-emissions-by-scope"/>
    <w:p>
      <w:pPr>
        <w:pStyle w:val="Heading3"/>
      </w:pPr>
      <w:r>
        <w:t xml:space="preserve">4.2. GHG Emissions by Scope:</w:t>
      </w:r>
    </w:p>
    <w:p>
      <w:pPr>
        <w:pStyle w:val="FirstParagraph"/>
      </w:pPr>
      <w:r>
        <w:t xml:space="preserve">Based on the GHG Protocol definitions, emissions are categorized as follows:</w:t>
      </w:r>
    </w:p>
    <w:p>
      <w:pPr>
        <w:numPr>
          <w:ilvl w:val="0"/>
          <w:numId w:val="1014"/>
        </w:numPr>
        <w:pStyle w:val="Compact"/>
      </w:pPr>
      <w:r>
        <w:rPr>
          <w:bCs/>
          <w:b/>
        </w:rPr>
        <w:t xml:space="preserve">Scope 1 (Direct Emissions):</w:t>
      </w:r>
      <w:r>
        <w:t xml:space="preserve"> </w:t>
      </w:r>
      <w:r>
        <w:t xml:space="preserve">No direct operational emissions (e.g., owned vehicle fleets, on-site fuel combustion) are specified or calculated for this product\'s PCF. Therefore, Scope 1 emissions are considered negligible or 0.00 kg CO2e.</w:t>
      </w:r>
    </w:p>
    <w:p>
      <w:pPr>
        <w:numPr>
          <w:ilvl w:val="0"/>
          <w:numId w:val="1014"/>
        </w:numPr>
        <w:pStyle w:val="Compact"/>
      </w:pPr>
      <w:r>
        <w:rPr>
          <w:bCs/>
          <w:b/>
        </w:rPr>
        <w:t xml:space="preserve">Scope 2 (Purchased Energy):</w:t>
      </w:r>
      <w:r>
        <w:t xml:space="preserve"> </w:t>
      </w:r>
      <w:r>
        <w:t xml:space="preserve">Emissions from the consumption of purchased electricity for manufacturing.</w:t>
      </w:r>
    </w:p>
    <w:p>
      <w:pPr>
        <w:numPr>
          <w:ilvl w:val="0"/>
          <w:numId w:val="1014"/>
        </w:numPr>
        <w:pStyle w:val="Compact"/>
      </w:pPr>
      <w:r>
        <w:rPr>
          <w:bCs/>
          <w:b/>
        </w:rPr>
        <w:t xml:space="preserve">Scope 3 (Value Chain Emissions):</w:t>
      </w:r>
      <w:r>
        <w:t xml:space="preserve"> </w:t>
      </w:r>
      <w:r>
        <w:t xml:space="preserve">Emissions from purchased goods and services (materials), upstream and downstream transportation and distribution, use of sold products, and end-of-life treatment of sold products.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Lifecycle Stage(s)</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N/A (Direct Operations)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Manufacturing/Production (Purchased Electricity)</w:t>
            </w:r>
          </w:p>
        </w:tc>
        <w:tc>
          <w:tcPr/>
          <w:p>
            <w:pPr>
              <w:pStyle w:val="Compact"/>
              <w:jc w:val="left"/>
            </w:pPr>
            <w:r>
              <w:t xml:space="preserve">3.60</w:t>
            </w:r>
          </w:p>
        </w:tc>
      </w:tr>
      <w:tr>
        <w:tc>
          <w:tcPr>
            <w:vMerge w:val="restart"/>
          </w:tcPr>
          <w:p>
            <w:pPr>
              <w:pStyle w:val="Compact"/>
              <w:jc w:val="left"/>
            </w:pPr>
            <w:r>
              <w:t xml:space="preserve">Scope 3</w:t>
            </w:r>
          </w:p>
        </w:tc>
        <w:tc>
          <w:tcPr/>
          <w:p>
            <w:pPr>
              <w:pStyle w:val="Compact"/>
              <w:jc w:val="left"/>
            </w:pPr>
            <w:r>
              <w:t xml:space="preserve">Materials Acquisition &amp; Production (Category 1)</w:t>
            </w:r>
          </w:p>
        </w:tc>
        <w:tc>
          <w:tcPr/>
          <w:p>
            <w:pPr>
              <w:pStyle w:val="Compact"/>
              <w:jc w:val="left"/>
            </w:pPr>
            <w:r>
              <w:t xml:space="preserve">7.05</w:t>
            </w:r>
          </w:p>
        </w:tc>
      </w:tr>
      <w:tr>
        <w:tc>
          <w:tcPr>
            <w:gridSpan w:val="1"/>
            <w:vMerge w:val="continue"/>
          </w:tcPr>
          <w:p>
            <w:pPr/>
          </w:p>
        </w:tc>
        <w:tc>
          <w:tcPr/>
          <w:p>
            <w:pPr>
              <w:pStyle w:val="Compact"/>
              <w:jc w:val="left"/>
            </w:pPr>
            <w:r>
              <w:t xml:space="preserve">Transport &amp; Distribution (Categories 4 &amp; 9)</w:t>
            </w:r>
          </w:p>
        </w:tc>
        <w:tc>
          <w:tcPr/>
          <w:p>
            <w:pPr>
              <w:pStyle w:val="Compact"/>
              <w:jc w:val="left"/>
            </w:pPr>
            <w:r>
              <w:t xml:space="preserve">0.28</w:t>
            </w:r>
          </w:p>
        </w:tc>
      </w:tr>
      <w:tr>
        <w:tc>
          <w:tcPr>
            <w:gridSpan w:val="1"/>
            <w:vMerge w:val="continue"/>
          </w:tcPr>
          <w:p>
            <w:pPr/>
          </w:p>
        </w:tc>
        <w:tc>
          <w:tcPr/>
          <w:p>
            <w:pPr>
              <w:pStyle w:val="Compact"/>
              <w:jc w:val="left"/>
            </w:pPr>
            <w:r>
              <w:t xml:space="preserve">Use Phase (Category 11)</w:t>
            </w:r>
          </w:p>
        </w:tc>
        <w:tc>
          <w:tcPr/>
          <w:p>
            <w:pPr>
              <w:pStyle w:val="Compact"/>
              <w:jc w:val="left"/>
            </w:pPr>
            <w:r>
              <w:t xml:space="preserve">10.00</w:t>
            </w:r>
          </w:p>
        </w:tc>
      </w:tr>
      <w:tr>
        <w:tc>
          <w:tcPr>
            <w:gridSpan w:val="1"/>
            <w:vMerge w:val="continue"/>
          </w:tcPr>
          <w:p>
            <w:pPr/>
          </w:p>
        </w:tc>
        <w:tc>
          <w:tcPr/>
          <w:p>
            <w:pPr>
              <w:pStyle w:val="Compact"/>
              <w:jc w:val="left"/>
            </w:pPr>
            <w:r>
              <w:t xml:space="preserve">End-of-Life Treatment (Category 12)</w:t>
            </w:r>
          </w:p>
        </w:tc>
        <w:tc>
          <w:tcPr/>
          <w:p>
            <w:pPr>
              <w:pStyle w:val="Compact"/>
              <w:jc w:val="left"/>
            </w:pPr>
            <w:r>
              <w:t xml:space="preserve">-0.98</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20.95 kg CO2e</w:t>
            </w:r>
          </w:p>
        </w:tc>
      </w:tr>
    </w:tbl>
    <w:p>
      <w:r>
        <w:pict>
          <v:rect style="width:0;height:1.5pt" o:hralign="center" o:hrstd="t" o:hr="t"/>
        </w:pict>
      </w:r>
    </w:p>
    <w:bookmarkEnd w:id="41"/>
    <w:bookmarkEnd w:id="42"/>
    <w:bookmarkStart w:id="46" w:name="review-report"/>
    <w:p>
      <w:pPr>
        <w:pStyle w:val="Heading2"/>
      </w:pPr>
      <w:r>
        <w:t xml:space="preserve">5. Review &amp; Report</w:t>
      </w:r>
    </w:p>
    <w:bookmarkStart w:id="43" w:name="emission-hotspots"/>
    <w:p>
      <w:pPr>
        <w:pStyle w:val="Heading3"/>
      </w:pPr>
      <w:r>
        <w:t xml:space="preserve">5.1. Emission Hotspots</w:t>
      </w:r>
    </w:p>
    <w:p>
      <w:pPr>
        <w:pStyle w:val="FirstParagraph"/>
      </w:pPr>
      <w:r>
        <w:t xml:space="preserve">The analysis reveals the following emission hotspots for</w:t>
      </w:r>
      <w:r>
        <w:t xml:space="preserve"> </w:t>
      </w:r>
      <w:r>
        <w:rPr>
          <w:bCs/>
          <w:b/>
        </w:rPr>
        <w:t xml:space="preserve">lqljjpxhpu</w:t>
      </w:r>
      <w:r>
        <w:t xml:space="preserve">:</w:t>
      </w:r>
    </w:p>
    <w:p>
      <w:pPr>
        <w:numPr>
          <w:ilvl w:val="0"/>
          <w:numId w:val="1015"/>
        </w:numPr>
        <w:pStyle w:val="Compact"/>
      </w:pPr>
      <w:r>
        <w:rPr>
          <w:bCs/>
          <w:b/>
        </w:rPr>
        <w:t xml:space="preserve">Use Phase (10.00 kg CO2e):</w:t>
      </w:r>
      <w:r>
        <w:t xml:space="preserve"> </w:t>
      </w:r>
      <w:r>
        <w:t xml:space="preserve">This stage represents the largest contributor to the product\'s PCF, primarily due to the energy consumed over its 5-year lifespan. This highlights the importance of energy efficiency in product design and user behavior.</w:t>
      </w:r>
    </w:p>
    <w:p>
      <w:pPr>
        <w:numPr>
          <w:ilvl w:val="0"/>
          <w:numId w:val="1015"/>
        </w:numPr>
        <w:pStyle w:val="Compact"/>
      </w:pPr>
      <w:r>
        <w:rPr>
          <w:bCs/>
          <w:b/>
        </w:rPr>
        <w:t xml:space="preserve">Materials Acquisition &amp; Production (7.05 kg CO2e):</w:t>
      </w:r>
      <w:r>
        <w:t xml:space="preserve"> </w:t>
      </w:r>
      <w:r>
        <w:t xml:space="preserve">The impact of raw material extraction and processing, particularly the electronic components and steel casing, contributes significantly. This underscores the need for sustainable material sourcing and design for reduced material intensity.</w:t>
      </w:r>
    </w:p>
    <w:p>
      <w:pPr>
        <w:numPr>
          <w:ilvl w:val="0"/>
          <w:numId w:val="1015"/>
        </w:numPr>
        <w:pStyle w:val="Compact"/>
      </w:pPr>
      <w:r>
        <w:rPr>
          <w:bCs/>
          <w:b/>
        </w:rPr>
        <w:t xml:space="preserve">Manufacturing/Production (3.60 kg CO2e):</w:t>
      </w:r>
      <w:r>
        <w:t xml:space="preserve"> </w:t>
      </w:r>
      <w:r>
        <w:t xml:space="preserve">While renewable energy usage is at 70%, the remaining non-renewable electricity still accounts for a notable portion of emissions, indicating potential for further renewable energy integration or efficiency improvements in the China-based production.</w:t>
      </w:r>
    </w:p>
    <w:p>
      <w:pPr>
        <w:numPr>
          <w:ilvl w:val="0"/>
          <w:numId w:val="1015"/>
        </w:numPr>
        <w:pStyle w:val="Compact"/>
      </w:pPr>
      <w:r>
        <w:rPr>
          <w:bCs/>
          <w:b/>
        </w:rPr>
        <w:t xml:space="preserve">Transport &amp; Distribution (0.28 kg CO2e):</w:t>
      </w:r>
      <w:r>
        <w:t xml:space="preserve"> </w:t>
      </w:r>
      <w:r>
        <w:t xml:space="preserve">Both ocean freight and last-mile delivery contribute, but are less significant compared to other stages, given the relatively low emission factors per tkm for sea transport.</w:t>
      </w:r>
    </w:p>
    <w:p>
      <w:pPr>
        <w:numPr>
          <w:ilvl w:val="0"/>
          <w:numId w:val="1015"/>
        </w:numPr>
        <w:pStyle w:val="Compact"/>
      </w:pPr>
      <w:r>
        <w:rPr>
          <w:bCs/>
          <w:b/>
        </w:rPr>
        <w:t xml:space="preserve">End-of-Life Treatment (-0.98 kg CO2e):</w:t>
      </w:r>
      <w:r>
        <w:t xml:space="preserve"> </w:t>
      </w:r>
      <w:r>
        <w:t xml:space="preserve">The robust recyclability and take-back programs result in a net negative emission, offering a carbon credit due to avoided emissions from landfilling and virgin material production. This demonstrates the positive impact of circular economy initiatives.</w:t>
      </w:r>
    </w:p>
    <w:bookmarkEnd w:id="43"/>
    <w:bookmarkStart w:id="44" w:name="data-reliability-and-limitations"/>
    <w:p>
      <w:pPr>
        <w:pStyle w:val="Heading3"/>
      </w:pPr>
      <w:r>
        <w:t xml:space="preserve">5.2. Data Reliability and Limitations</w:t>
      </w:r>
    </w:p>
    <w:p>
      <w:pPr>
        <w:pStyle w:val="FirstParagraph"/>
      </w:pPr>
      <w:r>
        <w:t xml:space="preserve">The calculations are based on specific parameters provided and supplemented by industry-standard emission factors from reputable sources (e.g., IEA, MEE, DEFRA-equivalent values). The \'Total Carbon\' values in the BOM are taken as provided. Where specific data was unavailable (e.g., exact last-mile distance, detailed material recycling credits by type), reasonable assumptions have been made, which may introduce some level of uncertainty. The 95% Scope 3 coverage target, as outlined in the 2026 GHG Protocol revisions, is addressed through comprehensive data inclusion across the value chain.</w:t>
      </w:r>
    </w:p>
    <w:bookmarkEnd w:id="44"/>
    <w:bookmarkStart w:id="45" w:name="recommendations-for-reduction"/>
    <w:p>
      <w:pPr>
        <w:pStyle w:val="Heading3"/>
      </w:pPr>
      <w:r>
        <w:t xml:space="preserve">5.3. Recommendations for Reduction</w:t>
      </w:r>
    </w:p>
    <w:p>
      <w:pPr>
        <w:pStyle w:val="FirstParagraph"/>
      </w:pPr>
      <w:r>
        <w:t xml:space="preserve">To further reduce the Product Carbon Footprint of</w:t>
      </w:r>
      <w:r>
        <w:t xml:space="preserve"> </w:t>
      </w:r>
      <w:r>
        <w:rPr>
          <w:bCs/>
          <w:b/>
        </w:rPr>
        <w:t xml:space="preserve">lqljjpxhpu</w:t>
      </w:r>
      <w:r>
        <w:t xml:space="preserve">,</w:t>
      </w:r>
      <w:r>
        <w:t xml:space="preserve"> </w:t>
      </w:r>
      <w:r>
        <w:rPr>
          <w:bCs/>
          <w:b/>
        </w:rPr>
        <w:t xml:space="preserve">rrwpxfrhiy</w:t>
      </w:r>
      <w:r>
        <w:t xml:space="preserve"> </w:t>
      </w:r>
      <w:r>
        <w:t xml:space="preserve">should focus on the following areas:</w:t>
      </w:r>
    </w:p>
    <w:p>
      <w:pPr>
        <w:numPr>
          <w:ilvl w:val="0"/>
          <w:numId w:val="1016"/>
        </w:numPr>
        <w:pStyle w:val="Compact"/>
      </w:pPr>
      <w:r>
        <w:rPr>
          <w:bCs/>
          <w:b/>
        </w:rPr>
        <w:t xml:space="preserve">Enhance Use Phase Efficiency:</w:t>
      </w:r>
      <w:r>
        <w:t xml:space="preserve"> </w:t>
      </w:r>
      <w:r>
        <w:t xml:space="preserve">Invest in R&amp;D for product designs that minimize energy consumption during use. Promote customer awareness regarding energy-efficient usage and provide clear guidance. Explore product-as-a-service models to retain control over the product\'s energy performance.</w:t>
      </w:r>
    </w:p>
    <w:p>
      <w:pPr>
        <w:numPr>
          <w:ilvl w:val="0"/>
          <w:numId w:val="1016"/>
        </w:numPr>
        <w:pStyle w:val="Compact"/>
      </w:pPr>
      <w:r>
        <w:rPr>
          <w:bCs/>
          <w:b/>
        </w:rPr>
        <w:t xml:space="preserve">Sustainable Material Sourcing:</w:t>
      </w:r>
      <w:r>
        <w:t xml:space="preserve"> </w:t>
      </w:r>
      <w:r>
        <w:t xml:space="preserve">Prioritize suppliers offering materials with lower embedded carbon, increased recycled content, or certified sustainable origins. Investigate opportunities for material light-weighting without compromising product integrity.</w:t>
      </w:r>
    </w:p>
    <w:p>
      <w:pPr>
        <w:numPr>
          <w:ilvl w:val="0"/>
          <w:numId w:val="1016"/>
        </w:numPr>
        <w:pStyle w:val="Compact"/>
      </w:pPr>
      <w:r>
        <w:rPr>
          <w:bCs/>
          <w:b/>
        </w:rPr>
        <w:t xml:space="preserve">Optimize Production Energy Mix:</w:t>
      </w:r>
      <w:r>
        <w:t xml:space="preserve"> </w:t>
      </w:r>
      <w:r>
        <w:t xml:space="preserve">Increase the percentage of renewable energy used in manufacturing facilities beyond the current 70%. Explore on-site renewable energy generation or stronger engagement with renewable energy suppliers in China.</w:t>
      </w:r>
    </w:p>
    <w:p>
      <w:pPr>
        <w:numPr>
          <w:ilvl w:val="0"/>
          <w:numId w:val="1016"/>
        </w:numPr>
        <w:pStyle w:val="Compact"/>
      </w:pPr>
      <w:r>
        <w:rPr>
          <w:bCs/>
          <w:b/>
        </w:rPr>
        <w:t xml:space="preserve">Strengthen Circular Economy:</w:t>
      </w:r>
      <w:r>
        <w:t xml:space="preserve"> </w:t>
      </w:r>
      <w:r>
        <w:t xml:space="preserve">Continuously improve the effectiveness and reach of take-back programs and recycling infrastructure to maximize the recovery and reuse of materials, potentially yielding greater end-of-life credits. Explore modular design for easier disassembly and component reuse.</w:t>
      </w:r>
    </w:p>
    <w:p>
      <w:pPr>
        <w:numPr>
          <w:ilvl w:val="0"/>
          <w:numId w:val="1016"/>
        </w:numPr>
        <w:pStyle w:val="Compact"/>
      </w:pPr>
      <w:r>
        <w:rPr>
          <w:bCs/>
          <w:b/>
        </w:rPr>
        <w:t xml:space="preserve">Supply Chain Collaboration:</w:t>
      </w:r>
      <w:r>
        <w:t xml:space="preserve"> </w:t>
      </w:r>
      <w:r>
        <w:t xml:space="preserve">Engage with logistics partners to explore lower-emission transport options (e.g., optimizing container fill rates, shifting to rail where feasible for European distribution, exploring alternative fuels for road transport).</w:t>
      </w:r>
    </w:p>
    <w:p>
      <w:r>
        <w:pict>
          <v:rect style="width:0;height:1.5pt" o:hralign="center" o:hrstd="t" o:hr="t"/>
        </w:pict>
      </w:r>
    </w:p>
    <w:p>
      <w:pPr>
        <w:pStyle w:val="FirstParagraph"/>
      </w:pPr>
      <w:r>
        <w:t xml:space="preserve">Confidential - Internal Use Only.</w:t>
      </w:r>
    </w:p>
    <w:p>
      <w:pPr>
        <w:pStyle w:val="BodyText"/>
      </w:pPr>
      <w:r>
        <w:t xml:space="preserve">Page 1 of 1</w:t>
      </w:r>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lqljjpxhpu</dc:title>
  <dc:creator/>
  <dc:description>High-detail Product Carbon Footprint (PCF) analysis report for product lqljjpxhpu by rrwpxfrhiy, conducted by Senior Sustainability Consultant hwvpojxsky, adhering to GHG Protocol standards and 2026 updates.</dc:description>
  <dc:language>en</dc:language>
  <cp:keywords/>
  <dcterms:created xsi:type="dcterms:W3CDTF">2026-05-30T11:30:57Z</dcterms:created>
  <dcterms:modified xsi:type="dcterms:W3CDTF">2026-05-30T11:30:57Z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