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Logitech</w:t>
      </w:r>
      <w:r>
        <w:t xml:space="preserve"> </w:t>
      </w:r>
      <w:r>
        <w:t xml:space="preserve">Mouse</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Logitech Mouse</w:t>
      </w:r>
    </w:p>
    <w:p>
      <w:pPr>
        <w:pStyle w:val="BodyText"/>
      </w:pPr>
      <w:r>
        <w:rPr>
          <w:bCs/>
          <w:b/>
        </w:rPr>
        <w:t xml:space="preserve">Accounting Standard:</w:t>
      </w:r>
      <w:r>
        <w:t xml:space="preserve"> </w:t>
      </w:r>
      <w:r>
        <w:t xml:space="preserve">GHG Protocol</w:t>
      </w:r>
    </w:p>
    <w:p>
      <w:pPr>
        <w:pStyle w:val="BodyText"/>
      </w:pPr>
      <w:r>
        <w:rPr>
          <w:bCs/>
          <w:b/>
        </w:rPr>
        <w:t xml:space="preserve">Regulatory Framework:</w:t>
      </w:r>
      <w:r>
        <w:t xml:space="preserve"> </w:t>
      </w:r>
      <w:r>
        <w:t xml:space="preserve">ISSB</w:t>
      </w:r>
    </w:p>
    <w:p>
      <w:pPr>
        <w:pStyle w:val="BodyText"/>
      </w:pPr>
      <w:r>
        <w:t xml:space="preserve">Prepared by: Senior Sustainability Consultant</w:t>
      </w:r>
    </w:p>
    <w:p>
      <w:pPr>
        <w:pStyle w:val="BodyText"/>
      </w:pPr>
      <w:r>
        <w:t xml:space="preserve">Specializing in GHG Protocol</w:t>
      </w:r>
    </w:p>
    <w:p>
      <w:pPr>
        <w:pStyle w:val="BodyText"/>
      </w:pPr>
      <w:r>
        <w:t xml:space="preserve">Disclaimer: This report is generated based on available data and industry standards. While every effort has been made to ensure accuracy, the actual carbon footprint may vary depending on specific product configurations, supplier data, and dynamic market conditions.</w:t>
      </w:r>
    </w:p>
    <w:bookmarkEnd w:id="20"/>
    <w:bookmarkStart w:id="38" w:name="X378f1a804ef3f1c5c407328b144a38f0e63ff01"/>
    <w:p>
      <w:pPr>
        <w:pStyle w:val="Heading1"/>
      </w:pPr>
      <w:r>
        <w:t xml:space="preserve">Product Carbon Footprint Report: Logitech Mouse</w:t>
      </w:r>
    </w:p>
    <w:p>
      <w:pPr>
        <w:pStyle w:val="FirstParagraph"/>
      </w:pPr>
      <w:r>
        <w:rPr>
          <w:bCs/>
          <w:b/>
        </w:rPr>
        <w:t xml:space="preserve">Generated Date:</w:t>
      </w:r>
      <w:r>
        <w:t xml:space="preserve"> </w:t>
      </w:r>
      <w:r>
        <w:t xml:space="preserve">April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a generic Logitech mouse, conducted in alignment with the GHG Protocol and the emerging ISSB regulatory framework. The analysis adopts a "factory-gate" system boundary, focusing on emissions from raw material extraction, component manufacturing, and final assembly in China, with a supply chain focus on Europe for upstream activities. The primary objective is to quantify greenhouse gas (GHG) emissions, identify key hotspots, and ensure comprehensive Scope 3 reporting, thereby informing sustainability strategies and compliance efforts.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Product Carbon Footprint (PCF) analysis for the Logitech mouse has been performed following a structured methodology, ensuring adherence to the specified parameters and accounting standards.</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a Logitech mouse. This represents a single, fully assembled, and packaged mouse ready for distribution from the factory.</w:t>
      </w:r>
    </w:p>
    <w:p>
      <w:pPr>
        <w:numPr>
          <w:ilvl w:val="0"/>
          <w:numId w:val="1001"/>
        </w:numPr>
        <w:pStyle w:val="Compact"/>
      </w:pPr>
      <w:r>
        <w:rPr>
          <w:bCs/>
          <w:b/>
        </w:rPr>
        <w:t xml:space="preserve">System Boundary:</w:t>
      </w:r>
      <w:r>
        <w:t xml:space="preserve"> </w:t>
      </w:r>
      <w:r>
        <w:t xml:space="preserve">Factory Gate (Cradle-to-Gate). This includes all life cycle stages from raw material acquisition, transport to manufacturing, component production, assembly, and packaging, up to the point the finished product leaves the final assembly factory in China. It excludes downstream stages such as distribution to end-user,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for raw material origins and primary processing, reflecting common global sourcing practices.</w:t>
      </w:r>
    </w:p>
    <w:p>
      <w:pPr>
        <w:numPr>
          <w:ilvl w:val="0"/>
          <w:numId w:val="1001"/>
        </w:numPr>
        <w:pStyle w:val="Compact"/>
      </w:pPr>
      <w:r>
        <w:rPr>
          <w:bCs/>
          <w:b/>
        </w:rPr>
        <w:t xml:space="preserve">Allocation:</w:t>
      </w:r>
      <w:r>
        <w:t xml:space="preserve"> </w:t>
      </w:r>
      <w:r>
        <w:t xml:space="preserve">Mass-based allocation is applied where co-production occurs, ensuring that the environmental burden is proportionally assigned to the product under analysis.</w:t>
      </w:r>
    </w:p>
    <w:p>
      <w:pPr>
        <w:numPr>
          <w:ilvl w:val="0"/>
          <w:numId w:val="1001"/>
        </w:numPr>
        <w:pStyle w:val="Compact"/>
      </w:pPr>
      <w:r>
        <w:rPr>
          <w:bCs/>
          <w:b/>
        </w:rPr>
        <w:t xml:space="preserve">Accounting Standard:</w:t>
      </w:r>
      <w:r>
        <w:t xml:space="preserve"> </w:t>
      </w:r>
      <w:r>
        <w:t xml:space="preserve">GHG Protocol Product Standard. This analysis strictly adheres to the Greenhouse Gas Protocol\'s Product Life Cycle Accounting and Reporting Standard.</w:t>
      </w:r>
    </w:p>
    <w:p>
      <w:pPr>
        <w:numPr>
          <w:ilvl w:val="0"/>
          <w:numId w:val="1001"/>
        </w:numPr>
        <w:pStyle w:val="Compact"/>
      </w:pPr>
      <w:r>
        <w:rPr>
          <w:bCs/>
          <w:b/>
        </w:rPr>
        <w:t xml:space="preserve">Regulatory Framework:</w:t>
      </w:r>
      <w:r>
        <w:t xml:space="preserve"> </w:t>
      </w:r>
      <w:r>
        <w:t xml:space="preserve">ISSB (International Sustainability Standards Board) S1 and S2 standards. This report is structured to provide the necessary disclosures for ISSB compliance, consolidating voluntary frameworks into a global baseline for sustainability reporting.</w:t>
      </w:r>
    </w:p>
    <w:p>
      <w:r>
        <w:pict>
          <v:rect style="width:0;height:1.5pt" o:hralign="center" o:hrstd="t" o:hr="t"/>
        </w:pict>
      </w:r>
    </w:p>
    <w:bookmarkEnd w:id="22"/>
    <w:bookmarkEnd w:id="23"/>
    <w:bookmarkStart w:id="29" w:name="lifecycle-mapping-and-3.-data-collection"/>
    <w:p>
      <w:pPr>
        <w:pStyle w:val="Heading2"/>
      </w:pPr>
      <w:r>
        <w:t xml:space="preserve">2. Lifecycle Mapping and 3. Data Collection</w:t>
      </w:r>
    </w:p>
    <w:p>
      <w:pPr>
        <w:pStyle w:val="FirstParagraph"/>
      </w:pPr>
      <w:r>
        <w:t xml:space="preserve">The lifecycle of a Logitech mouse, from raw materials to the factory gate, involves several key stages. Data collection primarily focuses on material composition, energy consumption during manufacturing, and associated transportation.</w:t>
      </w:r>
    </w:p>
    <w:bookmarkStart w:id="24" w:name="X6a0941c1f9b1599c615f33f90e61a906cc5b4ad"/>
    <w:p>
      <w:pPr>
        <w:pStyle w:val="Heading3"/>
      </w:pPr>
      <w:r>
        <w:t xml:space="preserve">2.1. Product Components and Materials (Estimated for a typical optical mouse)</w:t>
      </w:r>
    </w:p>
    <w:p>
      <w:pPr>
        <w:pStyle w:val="FirstParagraph"/>
      </w:pPr>
      <w:r>
        <w:t xml:space="preserve">A standard Logitech mouse typically comprises the following key materials and components:</w:t>
      </w:r>
    </w:p>
    <w:p>
      <w:pPr>
        <w:numPr>
          <w:ilvl w:val="0"/>
          <w:numId w:val="1002"/>
        </w:numPr>
        <w:pStyle w:val="Compact"/>
      </w:pPr>
      <w:r>
        <w:rPr>
          <w:bCs/>
          <w:b/>
        </w:rPr>
        <w:t xml:space="preserve">Plastics:</w:t>
      </w:r>
      <w:r>
        <w:t xml:space="preserve"> </w:t>
      </w:r>
      <w:r>
        <w:t xml:space="preserve">Primarily Acrylonitrile Butadiene Styrene (ABS) and Polycarbonate (PC) for the casing, buttons, and internal structures.</w:t>
      </w:r>
    </w:p>
    <w:p>
      <w:pPr>
        <w:numPr>
          <w:ilvl w:val="0"/>
          <w:numId w:val="1002"/>
        </w:numPr>
        <w:pStyle w:val="Compact"/>
      </w:pPr>
      <w:r>
        <w:rPr>
          <w:bCs/>
          <w:b/>
        </w:rPr>
        <w:t xml:space="preserve">Printed Circuit Board (PCB):</w:t>
      </w:r>
      <w:r>
        <w:t xml:space="preserve"> </w:t>
      </w:r>
      <w:r>
        <w:t xml:space="preserve">Composed of fiberglass (FR-4), copper traces, and various electronic components (integrated circuits, resistors, capacitors, LEDs).</w:t>
      </w:r>
    </w:p>
    <w:p>
      <w:pPr>
        <w:numPr>
          <w:ilvl w:val="0"/>
          <w:numId w:val="1002"/>
        </w:numPr>
        <w:pStyle w:val="Compact"/>
      </w:pPr>
      <w:r>
        <w:rPr>
          <w:bCs/>
          <w:b/>
        </w:rPr>
        <w:t xml:space="preserve">Silicon:</w:t>
      </w:r>
      <w:r>
        <w:t xml:space="preserve"> </w:t>
      </w:r>
      <w:r>
        <w:t xml:space="preserve">The optical sensor and microcontroller units are silicon-based.</w:t>
      </w:r>
    </w:p>
    <w:p>
      <w:pPr>
        <w:numPr>
          <w:ilvl w:val="0"/>
          <w:numId w:val="1002"/>
        </w:numPr>
        <w:pStyle w:val="Compact"/>
      </w:pPr>
      <w:r>
        <w:rPr>
          <w:bCs/>
          <w:b/>
        </w:rPr>
        <w:t xml:space="preserve">Metals:</w:t>
      </w:r>
      <w:r>
        <w:t xml:space="preserve"> </w:t>
      </w:r>
      <w:r>
        <w:t xml:space="preserve">Steel (screws, springs), aluminum (wire shielding, scroll wheel axle), copper (wires, PCB traces, USB connector).</w:t>
      </w:r>
    </w:p>
    <w:p>
      <w:pPr>
        <w:numPr>
          <w:ilvl w:val="0"/>
          <w:numId w:val="1002"/>
        </w:numPr>
        <w:pStyle w:val="Compact"/>
      </w:pPr>
      <w:r>
        <w:rPr>
          <w:bCs/>
          <w:b/>
        </w:rPr>
        <w:t xml:space="preserve">Rubber/Elastomers:</w:t>
      </w:r>
      <w:r>
        <w:t xml:space="preserve"> </w:t>
      </w:r>
      <w:r>
        <w:t xml:space="preserve">For the scroll wheel grip, feet, and cable insulation (if wired).</w:t>
      </w:r>
    </w:p>
    <w:p>
      <w:pPr>
        <w:numPr>
          <w:ilvl w:val="0"/>
          <w:numId w:val="1002"/>
        </w:numPr>
        <w:pStyle w:val="Compact"/>
      </w:pPr>
      <w:r>
        <w:rPr>
          <w:bCs/>
          <w:b/>
        </w:rPr>
        <w:t xml:space="preserve">Battery:</w:t>
      </w:r>
      <w:r>
        <w:t xml:space="preserve"> </w:t>
      </w:r>
      <w:r>
        <w:t xml:space="preserve">For wireless mice, typically a small Lithium-ion (Li-ion) battery.</w:t>
      </w:r>
    </w:p>
    <w:p>
      <w:pPr>
        <w:numPr>
          <w:ilvl w:val="0"/>
          <w:numId w:val="1002"/>
        </w:numPr>
        <w:pStyle w:val="Compact"/>
      </w:pPr>
      <w:r>
        <w:rPr>
          <w:bCs/>
          <w:b/>
        </w:rPr>
        <w:t xml:space="preserve">Packaging:</w:t>
      </w:r>
      <w:r>
        <w:t xml:space="preserve"> </w:t>
      </w:r>
      <w:r>
        <w:t xml:space="preserve">Cardboard, plastic clamshells, and paper inserts.</w:t>
      </w:r>
    </w:p>
    <w:bookmarkEnd w:id="24"/>
    <w:bookmarkStart w:id="25" w:name="X5f802d4f633488b58609e23e80df9cc4a1e8440"/>
    <w:p>
      <w:pPr>
        <w:pStyle w:val="Heading3"/>
      </w:pPr>
      <w:r>
        <w:t xml:space="preserve">2.2. Key Materials and Estimated Masses (per 1.0 unit mouse)</w:t>
      </w:r>
    </w:p>
    <w:p>
      <w:pPr>
        <w:pStyle w:val="FirstParagraph"/>
      </w:pPr>
      <w:r>
        <w:t xml:space="preserve">The following table provides estimated material quantities for a typical (e.g., ~80-100g total mass) Logitech mouse: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Material/Component</w:t>
            </w:r>
          </w:p>
        </w:tc>
        <w:tc>
          <w:tcPr/>
          <w:p>
            <w:pPr>
              <w:pStyle w:val="Compact"/>
              <w:jc w:val="left"/>
            </w:pPr>
            <w:r>
              <w:t xml:space="preserve">Estimated Mass (g)</w:t>
            </w:r>
          </w:p>
        </w:tc>
        <w:tc>
          <w:tcPr/>
          <w:p>
            <w:pPr>
              <w:pStyle w:val="Compact"/>
              <w:jc w:val="left"/>
            </w:pPr>
            <w:r>
              <w:t xml:space="preserve">Justification/Notes</w:t>
            </w:r>
          </w:p>
        </w:tc>
      </w:tr>
      <w:tr>
        <w:tc>
          <w:tcPr/>
          <w:p>
            <w:pPr>
              <w:pStyle w:val="Compact"/>
              <w:jc w:val="left"/>
            </w:pPr>
            <w:r>
              <w:t xml:space="preserve">ABS Plastic (Casing, Buttons)</w:t>
            </w:r>
          </w:p>
        </w:tc>
        <w:tc>
          <w:tcPr/>
          <w:p>
            <w:pPr>
              <w:pStyle w:val="Compact"/>
              <w:jc w:val="left"/>
            </w:pPr>
            <w:r>
              <w:t xml:space="preserve">45</w:t>
            </w:r>
          </w:p>
        </w:tc>
        <w:tc>
          <w:tcPr/>
          <w:p>
            <w:pPr>
              <w:pStyle w:val="Compact"/>
              <w:jc w:val="left"/>
            </w:pPr>
            <w:r>
              <w:t xml:space="preserve">Primary material for housing</w:t>
            </w:r>
          </w:p>
        </w:tc>
      </w:tr>
      <w:tr>
        <w:tc>
          <w:tcPr/>
          <w:p>
            <w:pPr>
              <w:pStyle w:val="Compact"/>
              <w:jc w:val="left"/>
            </w:pPr>
            <w:r>
              <w:t xml:space="preserve">PCB &amp; Electronic Components (excl. Si)</w:t>
            </w:r>
          </w:p>
        </w:tc>
        <w:tc>
          <w:tcPr/>
          <w:p>
            <w:pPr>
              <w:pStyle w:val="Compact"/>
              <w:jc w:val="left"/>
            </w:pPr>
            <w:r>
              <w:t xml:space="preserve">10</w:t>
            </w:r>
          </w:p>
        </w:tc>
        <w:tc>
          <w:tcPr/>
          <w:p>
            <w:pPr>
              <w:pStyle w:val="Compact"/>
              <w:jc w:val="left"/>
            </w:pPr>
            <w:r>
              <w:t xml:space="preserve">Fiberglass, copper, various metals, resistors, capacitors</w:t>
            </w:r>
          </w:p>
        </w:tc>
      </w:tr>
      <w:tr>
        <w:tc>
          <w:tcPr/>
          <w:p>
            <w:pPr>
              <w:pStyle w:val="Compact"/>
              <w:jc w:val="left"/>
            </w:pPr>
            <w:r>
              <w:t xml:space="preserve">Silicon (Sensor, Microcontroller)</w:t>
            </w:r>
          </w:p>
        </w:tc>
        <w:tc>
          <w:tcPr/>
          <w:p>
            <w:pPr>
              <w:pStyle w:val="Compact"/>
              <w:jc w:val="left"/>
            </w:pPr>
            <w:r>
              <w:t xml:space="preserve">0.5</w:t>
            </w:r>
          </w:p>
        </w:tc>
        <w:tc>
          <w:tcPr/>
          <w:p>
            <w:pPr>
              <w:pStyle w:val="Compact"/>
              <w:jc w:val="left"/>
            </w:pPr>
            <w:r>
              <w:t xml:space="preserve">Small mass but high impact per kg</w:t>
            </w:r>
          </w:p>
        </w:tc>
      </w:tr>
      <w:tr>
        <w:tc>
          <w:tcPr/>
          <w:p>
            <w:pPr>
              <w:pStyle w:val="Compact"/>
              <w:jc w:val="left"/>
            </w:pPr>
            <w:r>
              <w:t xml:space="preserve">Steel (Screws, Springs)</w:t>
            </w:r>
          </w:p>
        </w:tc>
        <w:tc>
          <w:tcPr/>
          <w:p>
            <w:pPr>
              <w:pStyle w:val="Compact"/>
              <w:jc w:val="left"/>
            </w:pPr>
            <w:r>
              <w:t xml:space="preserve">3</w:t>
            </w:r>
          </w:p>
        </w:tc>
        <w:tc>
          <w:tcPr/>
          <w:p>
            <w:pPr>
              <w:pStyle w:val="Compact"/>
              <w:jc w:val="left"/>
            </w:pPr>
            <w:r>
              <w:t xml:space="preserve">Fasteners and internal mechanisms</w:t>
            </w:r>
          </w:p>
        </w:tc>
      </w:tr>
      <w:tr>
        <w:tc>
          <w:tcPr/>
          <w:p>
            <w:pPr>
              <w:pStyle w:val="Compact"/>
              <w:jc w:val="left"/>
            </w:pPr>
            <w:r>
              <w:t xml:space="preserve">Copper (Wires, USB Connector, PCB traces)</w:t>
            </w:r>
          </w:p>
        </w:tc>
        <w:tc>
          <w:tcPr/>
          <w:p>
            <w:pPr>
              <w:pStyle w:val="Compact"/>
              <w:jc w:val="left"/>
            </w:pPr>
            <w:r>
              <w:t xml:space="preserve">4</w:t>
            </w:r>
          </w:p>
        </w:tc>
        <w:tc>
          <w:tcPr/>
          <w:p>
            <w:pPr>
              <w:pStyle w:val="Compact"/>
              <w:jc w:val="left"/>
            </w:pPr>
            <w:r>
              <w:t xml:space="preserve">Conductivity and connections</w:t>
            </w:r>
          </w:p>
        </w:tc>
      </w:tr>
      <w:tr>
        <w:tc>
          <w:tcPr/>
          <w:p>
            <w:pPr>
              <w:pStyle w:val="Compact"/>
              <w:jc w:val="left"/>
            </w:pPr>
            <w:r>
              <w:t xml:space="preserve">Rubber/Elastomers (Scroll Wheel, Feet)</w:t>
            </w:r>
          </w:p>
        </w:tc>
        <w:tc>
          <w:tcPr/>
          <w:p>
            <w:pPr>
              <w:pStyle w:val="Compact"/>
              <w:jc w:val="left"/>
            </w:pPr>
            <w:r>
              <w:t xml:space="preserve">2</w:t>
            </w:r>
          </w:p>
        </w:tc>
        <w:tc>
          <w:tcPr/>
          <w:p>
            <w:pPr>
              <w:pStyle w:val="Compact"/>
              <w:jc w:val="left"/>
            </w:pPr>
            <w:r>
              <w:t xml:space="preserve">Grip and stability</w:t>
            </w:r>
          </w:p>
        </w:tc>
      </w:tr>
      <w:tr>
        <w:tc>
          <w:tcPr/>
          <w:p>
            <w:pPr>
              <w:pStyle w:val="Compact"/>
              <w:jc w:val="left"/>
            </w:pPr>
            <w:r>
              <w:t xml:space="preserve">Lithium-ion Battery (if wireless)</w:t>
            </w:r>
          </w:p>
        </w:tc>
        <w:tc>
          <w:tcPr/>
          <w:p>
            <w:pPr>
              <w:pStyle w:val="Compact"/>
              <w:jc w:val="left"/>
            </w:pPr>
            <w:r>
              <w:t xml:space="preserve">8</w:t>
            </w:r>
          </w:p>
        </w:tc>
        <w:tc>
          <w:tcPr/>
          <w:p>
            <w:pPr>
              <w:pStyle w:val="Compact"/>
              <w:jc w:val="left"/>
            </w:pPr>
            <w:r>
              <w:t xml:space="preserve">For wireless functionality (assuming a small battery)</w:t>
            </w:r>
          </w:p>
        </w:tc>
      </w:tr>
      <w:tr>
        <w:tc>
          <w:tcPr/>
          <w:p>
            <w:pPr>
              <w:pStyle w:val="Compact"/>
              <w:jc w:val="left"/>
            </w:pPr>
            <w:r>
              <w:t xml:space="preserve">Packaging (Cardboard, Plastic)</w:t>
            </w:r>
          </w:p>
        </w:tc>
        <w:tc>
          <w:tcPr/>
          <w:p>
            <w:pPr>
              <w:pStyle w:val="Compact"/>
              <w:jc w:val="left"/>
            </w:pPr>
            <w:r>
              <w:t xml:space="preserve">25</w:t>
            </w:r>
          </w:p>
        </w:tc>
        <w:tc>
          <w:tcPr/>
          <w:p>
            <w:pPr>
              <w:pStyle w:val="Compact"/>
              <w:jc w:val="left"/>
            </w:pPr>
            <w:r>
              <w:t xml:space="preserve">Retail packaging for protection</w:t>
            </w:r>
          </w:p>
        </w:tc>
      </w:tr>
      <w:tr>
        <w:tc>
          <w:tcPr/>
          <w:p>
            <w:pPr>
              <w:pStyle w:val="Compact"/>
              <w:jc w:val="left"/>
            </w:pPr>
            <w:r>
              <w:rPr>
                <w:bCs/>
                <w:b/>
              </w:rPr>
              <w:t xml:space="preserve">Total Product Weight (approx.)</w:t>
            </w:r>
          </w:p>
        </w:tc>
        <w:tc>
          <w:tcPr/>
          <w:p>
            <w:pPr>
              <w:pStyle w:val="Compact"/>
              <w:jc w:val="left"/>
            </w:pPr>
            <w:r>
              <w:rPr>
                <w:bCs/>
                <w:b/>
              </w:rPr>
              <w:t xml:space="preserve">97.5</w:t>
            </w:r>
          </w:p>
        </w:tc>
        <w:tc>
          <w:tcPr/>
          <w:p>
            <w:pPr>
              <w:pStyle w:val="Compact"/>
              <w:jc w:val="left"/>
            </w:pPr>
            <w:r>
              <w:t xml:space="preserve">Sum of major components, indicative</w:t>
            </w:r>
          </w:p>
        </w:tc>
      </w:tr>
    </w:tbl>
    <w:bookmarkEnd w:id="25"/>
    <w:bookmarkStart w:id="26" w:name="manufacturing-energy-inputs"/>
    <w:p>
      <w:pPr>
        <w:pStyle w:val="Heading3"/>
      </w:pPr>
      <w:r>
        <w:t xml:space="preserve">2.3. Manufacturing Energy Inputs</w:t>
      </w:r>
    </w:p>
    <w:p>
      <w:pPr>
        <w:pStyle w:val="FirstParagraph"/>
      </w:pPr>
      <w:r>
        <w:t xml:space="preserve">The primary energy input during the manufacturing phase in China is electricity for various processes:</w:t>
      </w:r>
    </w:p>
    <w:p>
      <w:pPr>
        <w:numPr>
          <w:ilvl w:val="0"/>
          <w:numId w:val="1003"/>
        </w:numPr>
        <w:pStyle w:val="Compact"/>
      </w:pPr>
      <w:r>
        <w:t xml:space="preserve">Injection molding for plastic parts.</w:t>
      </w:r>
    </w:p>
    <w:p>
      <w:pPr>
        <w:numPr>
          <w:ilvl w:val="0"/>
          <w:numId w:val="1003"/>
        </w:numPr>
        <w:pStyle w:val="Compact"/>
      </w:pPr>
      <w:r>
        <w:t xml:space="preserve">PCB fabrication and assembly (e.g., reflow soldering).</w:t>
      </w:r>
    </w:p>
    <w:p>
      <w:pPr>
        <w:numPr>
          <w:ilvl w:val="0"/>
          <w:numId w:val="1003"/>
        </w:numPr>
        <w:pStyle w:val="Compact"/>
      </w:pPr>
      <w:r>
        <w:t xml:space="preserve">Automated and manual assembly processes.</w:t>
      </w:r>
    </w:p>
    <w:p>
      <w:pPr>
        <w:numPr>
          <w:ilvl w:val="0"/>
          <w:numId w:val="1003"/>
        </w:numPr>
        <w:pStyle w:val="Compact"/>
      </w:pPr>
      <w:r>
        <w:t xml:space="preserve">Testing and quality control.</w:t>
      </w:r>
    </w:p>
    <w:p>
      <w:pPr>
        <w:numPr>
          <w:ilvl w:val="0"/>
          <w:numId w:val="1003"/>
        </w:numPr>
        <w:pStyle w:val="Compact"/>
      </w:pPr>
      <w:r>
        <w:t xml:space="preserve">Factory lighting, HVAC, and general operations.</w:t>
      </w:r>
    </w:p>
    <w:p>
      <w:pPr>
        <w:pStyle w:val="FirstParagraph"/>
      </w:pPr>
      <w:r>
        <w:t xml:space="preserve">Estimated total electricity consumption for manufacturing a single mouse: 0.15 kWh.</w:t>
      </w:r>
    </w:p>
    <w:bookmarkEnd w:id="26"/>
    <w:bookmarkStart w:id="27" w:name="transportation-data"/>
    <w:p>
      <w:pPr>
        <w:pStyle w:val="Heading3"/>
      </w:pPr>
      <w:r>
        <w:t xml:space="preserve">2.4. Transportation Data</w:t>
      </w:r>
    </w:p>
    <w:p>
      <w:pPr>
        <w:pStyle w:val="FirstParagraph"/>
      </w:pPr>
      <w:r>
        <w:t xml:space="preserve">Given the "Europe Focused" supply chain and "China" as the final production country, significant inbound raw material and component transportation is assumed:</w:t>
      </w:r>
    </w:p>
    <w:p>
      <w:pPr>
        <w:numPr>
          <w:ilvl w:val="0"/>
          <w:numId w:val="1004"/>
        </w:numPr>
        <w:pStyle w:val="Compact"/>
      </w:pPr>
      <w:r>
        <w:t xml:space="preserve">**Raw Materials (e.g., plastic pellets from Europe to China):** Assumed average distance of 15,000 km by ocean freight, followed by 500 km by road freight.</w:t>
      </w:r>
    </w:p>
    <w:p>
      <w:pPr>
        <w:numPr>
          <w:ilvl w:val="0"/>
          <w:numId w:val="1004"/>
        </w:numPr>
        <w:pStyle w:val="Compact"/>
      </w:pPr>
      <w:r>
        <w:t xml:space="preserve">**Electronic Components (e.g., advanced ICs from Europe to China):** Assumed average distance of 10,000 km by ocean freight, followed by 500 km by road freight.</w:t>
      </w:r>
    </w:p>
    <w:bookmarkEnd w:id="27"/>
    <w:bookmarkStart w:id="28" w:name="X0f0b47194ca1c38c269d7e32d10cfb2223b1555"/>
    <w:p>
      <w:pPr>
        <w:pStyle w:val="Heading3"/>
      </w:pPr>
      <w:r>
        <w:t xml:space="preserve">2.5. Selected Emission Factors (Industry Standard - Illustrative)</w:t>
      </w:r>
    </w:p>
    <w:p>
      <w:pPr>
        <w:pStyle w:val="FirstParagraph"/>
      </w:pPr>
      <w:r>
        <w:t xml:space="preserve">The following emission factors, sourced from industry-standard databases like Ecoinvent and DEFRA, are used for calculations. These are representative values and may vary based on specific processes and suppliers.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Activity/Material</w:t>
            </w:r>
          </w:p>
        </w:tc>
        <w:tc>
          <w:tcPr/>
          <w:p>
            <w:pPr>
              <w:pStyle w:val="Compact"/>
              <w:jc w:val="left"/>
            </w:pPr>
            <w:r>
              <w:t xml:space="preserve">Emission Factor (kg CO2e/unit)</w:t>
            </w:r>
          </w:p>
        </w:tc>
        <w:tc>
          <w:tcPr/>
          <w:p>
            <w:pPr>
              <w:pStyle w:val="Compact"/>
              <w:jc w:val="left"/>
            </w:pPr>
            <w:r>
              <w:t xml:space="preserve">Source/Notes</w:t>
            </w:r>
          </w:p>
        </w:tc>
      </w:tr>
      <w:tr>
        <w:tc>
          <w:tcPr/>
          <w:p>
            <w:pPr>
              <w:pStyle w:val="Compact"/>
              <w:jc w:val="left"/>
            </w:pPr>
            <w:r>
              <w:t xml:space="preserve">ABS Plastic (virgin)</w:t>
            </w:r>
          </w:p>
        </w:tc>
        <w:tc>
          <w:tcPr/>
          <w:p>
            <w:pPr>
              <w:pStyle w:val="Compact"/>
              <w:jc w:val="left"/>
            </w:pPr>
            <w:r>
              <w:t xml:space="preserve">3.13 kg CO2e/kg</w:t>
            </w:r>
          </w:p>
        </w:tc>
        <w:tc>
          <w:tcPr/>
          <w:p>
            <w:pPr>
              <w:pStyle w:val="Compact"/>
              <w:jc w:val="left"/>
            </w:pPr>
            <w:r>
              <w:t xml:space="preserve">Plastics Europe average (Europe)</w:t>
            </w:r>
          </w:p>
        </w:tc>
      </w:tr>
      <w:tr>
        <w:tc>
          <w:tcPr/>
          <w:p>
            <w:pPr>
              <w:pStyle w:val="Compact"/>
              <w:jc w:val="left"/>
            </w:pPr>
            <w:r>
              <w:t xml:space="preserve">Copper (primary)</w:t>
            </w:r>
          </w:p>
        </w:tc>
        <w:tc>
          <w:tcPr/>
          <w:p>
            <w:pPr>
              <w:pStyle w:val="Compact"/>
              <w:jc w:val="left"/>
            </w:pPr>
            <w:r>
              <w:t xml:space="preserve">4.10 kg CO2e/kg</w:t>
            </w:r>
          </w:p>
        </w:tc>
        <w:tc>
          <w:tcPr/>
          <w:p>
            <w:pPr>
              <w:pStyle w:val="Compact"/>
              <w:jc w:val="left"/>
            </w:pPr>
            <w:r>
              <w:t xml:space="preserve">Average for refined copper metal</w:t>
            </w:r>
          </w:p>
        </w:tc>
      </w:tr>
      <w:tr>
        <w:tc>
          <w:tcPr/>
          <w:p>
            <w:pPr>
              <w:pStyle w:val="Compact"/>
              <w:jc w:val="left"/>
            </w:pPr>
            <w:r>
              <w:t xml:space="preserve">Silicon (in electronics)</w:t>
            </w:r>
          </w:p>
        </w:tc>
        <w:tc>
          <w:tcPr/>
          <w:p>
            <w:pPr>
              <w:pStyle w:val="Compact"/>
              <w:jc w:val="left"/>
            </w:pPr>
            <w:r>
              <w:t xml:space="preserve">15.00 kg CO2e/kg (estimated)</w:t>
            </w:r>
          </w:p>
        </w:tc>
        <w:tc>
          <w:tcPr/>
          <w:p>
            <w:pPr>
              <w:pStyle w:val="Compact"/>
              <w:jc w:val="left"/>
            </w:pPr>
            <w:r>
              <w:t xml:space="preserve">High intensity due to wafer processing and electricity demand</w:t>
            </w:r>
          </w:p>
        </w:tc>
      </w:tr>
      <w:tr>
        <w:tc>
          <w:tcPr/>
          <w:p>
            <w:pPr>
              <w:pStyle w:val="Compact"/>
              <w:jc w:val="left"/>
            </w:pPr>
            <w:r>
              <w:t xml:space="preserve">Steel (low-alloyed)</w:t>
            </w:r>
          </w:p>
        </w:tc>
        <w:tc>
          <w:tcPr/>
          <w:p>
            <w:pPr>
              <w:pStyle w:val="Compact"/>
              <w:jc w:val="left"/>
            </w:pPr>
            <w:r>
              <w:t xml:space="preserve">1.90 kg CO2e/kg</w:t>
            </w:r>
          </w:p>
        </w:tc>
        <w:tc>
          <w:tcPr/>
          <w:p>
            <w:pPr>
              <w:pStyle w:val="Compact"/>
              <w:jc w:val="left"/>
            </w:pPr>
            <w:r>
              <w:t xml:space="preserve">Average steel production</w:t>
            </w:r>
          </w:p>
        </w:tc>
      </w:tr>
      <w:tr>
        <w:tc>
          <w:tcPr/>
          <w:p>
            <w:pPr>
              <w:pStyle w:val="Compact"/>
              <w:jc w:val="left"/>
            </w:pPr>
            <w:r>
              <w:t xml:space="preserve">Aluminum (primary)</w:t>
            </w:r>
          </w:p>
        </w:tc>
        <w:tc>
          <w:tcPr/>
          <w:p>
            <w:pPr>
              <w:pStyle w:val="Compact"/>
              <w:jc w:val="left"/>
            </w:pPr>
            <w:r>
              <w:t xml:space="preserve">14.77 kg CO2e/kg</w:t>
            </w:r>
          </w:p>
        </w:tc>
        <w:tc>
          <w:tcPr/>
          <w:p>
            <w:pPr>
              <w:pStyle w:val="Compact"/>
              <w:jc w:val="left"/>
            </w:pPr>
            <w:r>
              <w:t xml:space="preserve">Primary production (cradle-to-gate)</w:t>
            </w:r>
          </w:p>
        </w:tc>
      </w:tr>
      <w:tr>
        <w:tc>
          <w:tcPr/>
          <w:p>
            <w:pPr>
              <w:pStyle w:val="Compact"/>
              <w:jc w:val="left"/>
            </w:pPr>
            <w:r>
              <w:t xml:space="preserve">Lithium-ion Battery (material prod.)</w:t>
            </w:r>
          </w:p>
        </w:tc>
        <w:tc>
          <w:tcPr/>
          <w:p>
            <w:pPr>
              <w:pStyle w:val="Compact"/>
              <w:jc w:val="left"/>
            </w:pPr>
            <w:r>
              <w:t xml:space="preserve">6.31 kg CO2e/kg</w:t>
            </w:r>
          </w:p>
        </w:tc>
        <w:tc>
          <w:tcPr/>
          <w:p>
            <w:pPr>
              <w:pStyle w:val="Compact"/>
              <w:jc w:val="left"/>
            </w:pPr>
            <w:r>
              <w:t xml:space="preserve">Primary material production (UK BEIS/Defra 2022)</w:t>
            </w:r>
          </w:p>
        </w:tc>
      </w:tr>
      <w:tr>
        <w:tc>
          <w:tcPr/>
          <w:p>
            <w:pPr>
              <w:pStyle w:val="Compact"/>
              <w:jc w:val="left"/>
            </w:pPr>
            <w:r>
              <w:t xml:space="preserve">Electricity (China Grid Mix)</w:t>
            </w:r>
          </w:p>
        </w:tc>
        <w:tc>
          <w:tcPr/>
          <w:p>
            <w:pPr>
              <w:pStyle w:val="Compact"/>
              <w:jc w:val="left"/>
            </w:pPr>
            <w:r>
              <w:t xml:space="preserve">0.6205 kg CO2e/kWh</w:t>
            </w:r>
          </w:p>
        </w:tc>
        <w:tc>
          <w:tcPr/>
          <w:p>
            <w:pPr>
              <w:pStyle w:val="Compact"/>
              <w:jc w:val="left"/>
            </w:pPr>
            <w:r>
              <w:t xml:space="preserve">China National Average (2023)</w:t>
            </w:r>
          </w:p>
        </w:tc>
      </w:tr>
      <w:tr>
        <w:tc>
          <w:tcPr/>
          <w:p>
            <w:pPr>
              <w:pStyle w:val="Compact"/>
              <w:jc w:val="left"/>
            </w:pPr>
            <w:r>
              <w:t xml:space="preserve">Ocean Freight (container ship)</w:t>
            </w:r>
          </w:p>
        </w:tc>
        <w:tc>
          <w:tcPr/>
          <w:p>
            <w:pPr>
              <w:pStyle w:val="Compact"/>
              <w:jc w:val="left"/>
            </w:pPr>
            <w:r>
              <w:t xml:space="preserve">0.010 kg CO2e/tonne-km (estimated)</w:t>
            </w:r>
          </w:p>
        </w:tc>
        <w:tc>
          <w:tcPr/>
          <w:p>
            <w:pPr>
              <w:pStyle w:val="Compact"/>
              <w:jc w:val="left"/>
            </w:pPr>
            <w:r>
              <w:t xml:space="preserve">Representative value for general cargo</w:t>
            </w:r>
          </w:p>
        </w:tc>
      </w:tr>
      <w:tr>
        <w:tc>
          <w:tcPr/>
          <w:p>
            <w:pPr>
              <w:pStyle w:val="Compact"/>
              <w:jc w:val="left"/>
            </w:pPr>
            <w:r>
              <w:t xml:space="preserve">Road Freight (HGV, well-to-wheel)</w:t>
            </w:r>
          </w:p>
        </w:tc>
        <w:tc>
          <w:tcPr/>
          <w:p>
            <w:pPr>
              <w:pStyle w:val="Compact"/>
              <w:jc w:val="left"/>
            </w:pPr>
            <w:r>
              <w:t xml:space="preserve">0.120 kg CO2e/tonne-km (estimated)</w:t>
            </w:r>
          </w:p>
        </w:tc>
        <w:tc>
          <w:tcPr/>
          <w:p>
            <w:pPr>
              <w:pStyle w:val="Compact"/>
              <w:jc w:val="left"/>
            </w:pPr>
            <w:r>
              <w:t xml:space="preserve">Representative value for heavy goods vehicles</w:t>
            </w:r>
          </w:p>
        </w:tc>
      </w:tr>
      <w:tr>
        <w:tc>
          <w:tcPr/>
          <w:p>
            <w:pPr>
              <w:pStyle w:val="Compact"/>
              <w:jc w:val="left"/>
            </w:pPr>
            <w:r>
              <w:t xml:space="preserve">Cardboard (packaging)</w:t>
            </w:r>
          </w:p>
        </w:tc>
        <w:tc>
          <w:tcPr/>
          <w:p>
            <w:pPr>
              <w:pStyle w:val="Compact"/>
              <w:jc w:val="left"/>
            </w:pPr>
            <w:r>
              <w:t xml:space="preserve">0.50 kg CO2e/kg (estimated)</w:t>
            </w:r>
          </w:p>
        </w:tc>
        <w:tc>
          <w:tcPr/>
          <w:p>
            <w:pPr>
              <w:pStyle w:val="Compact"/>
              <w:jc w:val="left"/>
            </w:pPr>
            <w:r>
              <w:t xml:space="preserve">Average for virgin and recycled content</w:t>
            </w:r>
          </w:p>
        </w:tc>
      </w:tr>
      <w:tr>
        <w:tc>
          <w:tcPr/>
          <w:p>
            <w:pPr>
              <w:pStyle w:val="Compact"/>
              <w:jc w:val="left"/>
            </w:pPr>
            <w:r>
              <w:t xml:space="preserve">Mixed Plastics (packaging)</w:t>
            </w:r>
          </w:p>
        </w:tc>
        <w:tc>
          <w:tcPr/>
          <w:p>
            <w:pPr>
              <w:pStyle w:val="Compact"/>
              <w:jc w:val="left"/>
            </w:pPr>
            <w:r>
              <w:t xml:space="preserve">2.00 kg CO2e/kg (estimated)</w:t>
            </w:r>
          </w:p>
        </w:tc>
        <w:tc>
          <w:tcPr/>
          <w:p>
            <w:pPr>
              <w:pStyle w:val="Compact"/>
              <w:jc w:val="left"/>
            </w:pPr>
            <w:r>
              <w:t xml:space="preserve">Average for plastic film/clamshells</w:t>
            </w:r>
          </w:p>
        </w:tc>
      </w:tr>
    </w:tbl>
    <w:p>
      <w:r>
        <w:pict>
          <v:rect style="width:0;height:1.5pt" o:hralign="center" o:hrstd="t" o:hr="t"/>
        </w:pict>
      </w:r>
    </w:p>
    <w:bookmarkEnd w:id="28"/>
    <w:bookmarkEnd w:id="29"/>
    <w:bookmarkStart w:id="32" w:name="X439a6e6dcb43c636bf515ffaf3f59bce0bd6490"/>
    <w:p>
      <w:pPr>
        <w:pStyle w:val="Heading2"/>
      </w:pPr>
      <w:r>
        <w:t xml:space="preserve">4. Emission Calculation (Activity * Emission Factor = CO2e)</w:t>
      </w:r>
    </w:p>
    <w:p>
      <w:pPr>
        <w:pStyle w:val="FirstParagraph"/>
      </w:pPr>
      <w:r>
        <w:t xml:space="preserve">The emissions are calculated based on the estimated material inputs, energy consumption, and transportation activities, categorized according to the GHG Protocol Scopes.</w:t>
      </w:r>
    </w:p>
    <w:bookmarkStart w:id="30" w:name="Xfe5d00a4c7436973315cc8960a63377f16e1496"/>
    <w:p>
      <w:pPr>
        <w:pStyle w:val="Heading3"/>
      </w:pPr>
      <w:r>
        <w:t xml:space="preserve">4.1. Product Carbon Footprint Calculation (CO2e)</w:t>
      </w:r>
    </w:p>
    <w:p>
      <w:pPr>
        <w:pStyle w:val="FirstParagraph"/>
      </w:pPr>
      <w:r>
        <w:t xml:space="preserve">The following table details the calculated emissions for each major component and process stage up to the factory gate.</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Category</w:t>
            </w:r>
          </w:p>
        </w:tc>
        <w:tc>
          <w:tcPr/>
          <w:p>
            <w:pPr>
              <w:pStyle w:val="Compact"/>
              <w:jc w:val="left"/>
            </w:pPr>
            <w:r>
              <w:t xml:space="preserve">Activity/Material</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CO2e (kg)</w:t>
            </w:r>
          </w:p>
        </w:tc>
        <w:tc>
          <w:tcPr/>
          <w:p>
            <w:pPr>
              <w:pStyle w:val="Compact"/>
              <w:jc w:val="left"/>
            </w:pPr>
            <w:r>
              <w:t xml:space="preserve">GHG Scope</w:t>
            </w:r>
          </w:p>
        </w:tc>
      </w:tr>
      <w:tr>
        <w:tc>
          <w:tcPr>
            <w:vMerge w:val="restart"/>
          </w:tcPr>
          <w:p>
            <w:pPr>
              <w:pStyle w:val="Compact"/>
              <w:jc w:val="left"/>
            </w:pPr>
            <w:r>
              <w:rPr>
                <w:bCs/>
                <w:b/>
              </w:rPr>
              <w:t xml:space="preserve">Materials Acquisition &amp; Processing</w:t>
            </w:r>
          </w:p>
        </w:tc>
        <w:tc>
          <w:tcPr/>
          <w:p>
            <w:pPr>
              <w:pStyle w:val="Compact"/>
              <w:jc w:val="left"/>
            </w:pPr>
            <w:r>
              <w:t xml:space="preserve">ABS Plastic</w:t>
            </w:r>
          </w:p>
        </w:tc>
        <w:tc>
          <w:tcPr/>
          <w:p>
            <w:pPr>
              <w:pStyle w:val="Compact"/>
              <w:jc w:val="left"/>
            </w:pPr>
            <w:r>
              <w:t xml:space="preserve">0.045</w:t>
            </w:r>
          </w:p>
        </w:tc>
        <w:tc>
          <w:tcPr/>
          <w:p>
            <w:pPr>
              <w:pStyle w:val="Compact"/>
              <w:jc w:val="left"/>
            </w:pPr>
            <w:r>
              <w:t xml:space="preserve">kg</w:t>
            </w:r>
          </w:p>
        </w:tc>
        <w:tc>
          <w:tcPr/>
          <w:p>
            <w:pPr>
              <w:pStyle w:val="Compact"/>
              <w:jc w:val="left"/>
            </w:pPr>
            <w:r>
              <w:t xml:space="preserve">3.13</w:t>
            </w:r>
          </w:p>
        </w:tc>
        <w:tc>
          <w:tcPr/>
          <w:p>
            <w:pPr>
              <w:pStyle w:val="Compact"/>
              <w:jc w:val="left"/>
            </w:pPr>
            <w:r>
              <w:t xml:space="preserve">0.14085</w:t>
            </w:r>
          </w:p>
        </w:tc>
        <w:tc>
          <w:tcPr/>
          <w:p>
            <w:pPr>
              <w:pStyle w:val="Compact"/>
              <w:jc w:val="left"/>
            </w:pPr>
            <w:r>
              <w:t xml:space="preserve">Scope 3 (Upstream)</w:t>
            </w:r>
          </w:p>
        </w:tc>
      </w:tr>
      <w:tr>
        <w:tc>
          <w:tcPr>
            <w:gridSpan w:val="1"/>
            <w:vMerge w:val="continue"/>
          </w:tcPr>
          <w:p>
            <w:pPr/>
          </w:p>
        </w:tc>
        <w:tc>
          <w:tcPr/>
          <w:p>
            <w:pPr>
              <w:pStyle w:val="Compact"/>
              <w:jc w:val="left"/>
            </w:pPr>
            <w:r>
              <w:t xml:space="preserve">PCB &amp; Electronic Components (excl. Si)</w:t>
            </w:r>
          </w:p>
        </w:tc>
        <w:tc>
          <w:tcPr/>
          <w:p>
            <w:pPr>
              <w:pStyle w:val="Compact"/>
              <w:jc w:val="left"/>
            </w:pPr>
            <w:r>
              <w:t xml:space="preserve">0.010</w:t>
            </w:r>
          </w:p>
        </w:tc>
        <w:tc>
          <w:tcPr/>
          <w:p>
            <w:pPr>
              <w:pStyle w:val="Compact"/>
              <w:jc w:val="left"/>
            </w:pPr>
            <w:r>
              <w:t xml:space="preserve">kg</w:t>
            </w:r>
          </w:p>
        </w:tc>
        <w:tc>
          <w:tcPr/>
          <w:p>
            <w:pPr>
              <w:pStyle w:val="Compact"/>
              <w:jc w:val="left"/>
            </w:pPr>
            <w:r>
              <w:t xml:space="preserve">4.10 (Copper proxy)</w:t>
            </w:r>
          </w:p>
        </w:tc>
        <w:tc>
          <w:tcPr/>
          <w:p>
            <w:pPr>
              <w:pStyle w:val="Compact"/>
              <w:jc w:val="left"/>
            </w:pPr>
            <w:r>
              <w:t xml:space="preserve">0.04100</w:t>
            </w:r>
          </w:p>
        </w:tc>
        <w:tc>
          <w:tcPr/>
          <w:p>
            <w:pPr>
              <w:pStyle w:val="Compact"/>
              <w:jc w:val="left"/>
            </w:pPr>
            <w:r>
              <w:t xml:space="preserve">Scope 3 (Upstream)</w:t>
            </w:r>
          </w:p>
        </w:tc>
      </w:tr>
      <w:tr>
        <w:tc>
          <w:tcPr>
            <w:gridSpan w:val="1"/>
            <w:vMerge w:val="continue"/>
          </w:tcPr>
          <w:p>
            <w:pPr/>
          </w:p>
        </w:tc>
        <w:tc>
          <w:tcPr/>
          <w:p>
            <w:pPr>
              <w:pStyle w:val="Compact"/>
              <w:jc w:val="left"/>
            </w:pPr>
            <w:r>
              <w:t xml:space="preserve">Silicon (Sensor, Microcontroller)</w:t>
            </w:r>
          </w:p>
        </w:tc>
        <w:tc>
          <w:tcPr/>
          <w:p>
            <w:pPr>
              <w:pStyle w:val="Compact"/>
              <w:jc w:val="left"/>
            </w:pPr>
            <w:r>
              <w:t xml:space="preserve">0.0005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0.00750</w:t>
            </w:r>
          </w:p>
        </w:tc>
        <w:tc>
          <w:tcPr/>
          <w:p>
            <w:pPr>
              <w:pStyle w:val="Compact"/>
              <w:jc w:val="left"/>
            </w:pPr>
            <w:r>
              <w:t xml:space="preserve">Scope 3 (Upstream)</w:t>
            </w:r>
          </w:p>
        </w:tc>
      </w:tr>
      <w:tr>
        <w:tc>
          <w:tcPr>
            <w:gridSpan w:val="1"/>
            <w:vMerge w:val="continue"/>
          </w:tcPr>
          <w:p>
            <w:pPr/>
          </w:p>
        </w:tc>
        <w:tc>
          <w:tcPr/>
          <w:p>
            <w:pPr>
              <w:pStyle w:val="Compact"/>
              <w:jc w:val="left"/>
            </w:pPr>
            <w:r>
              <w:t xml:space="preserve">Steel</w:t>
            </w:r>
          </w:p>
        </w:tc>
        <w:tc>
          <w:tcPr/>
          <w:p>
            <w:pPr>
              <w:pStyle w:val="Compact"/>
              <w:jc w:val="left"/>
            </w:pPr>
            <w:r>
              <w:t xml:space="preserve">0.003</w:t>
            </w:r>
          </w:p>
        </w:tc>
        <w:tc>
          <w:tcPr/>
          <w:p>
            <w:pPr>
              <w:pStyle w:val="Compact"/>
              <w:jc w:val="left"/>
            </w:pPr>
            <w:r>
              <w:t xml:space="preserve">kg</w:t>
            </w:r>
          </w:p>
        </w:tc>
        <w:tc>
          <w:tcPr/>
          <w:p>
            <w:pPr>
              <w:pStyle w:val="Compact"/>
              <w:jc w:val="left"/>
            </w:pPr>
            <w:r>
              <w:t xml:space="preserve">1.90</w:t>
            </w:r>
          </w:p>
        </w:tc>
        <w:tc>
          <w:tcPr/>
          <w:p>
            <w:pPr>
              <w:pStyle w:val="Compact"/>
              <w:jc w:val="left"/>
            </w:pPr>
            <w:r>
              <w:t xml:space="preserve">0.00570</w:t>
            </w:r>
          </w:p>
        </w:tc>
        <w:tc>
          <w:tcPr/>
          <w:p>
            <w:pPr>
              <w:pStyle w:val="Compact"/>
              <w:jc w:val="left"/>
            </w:pPr>
            <w:r>
              <w:t xml:space="preserve">Scope 3 (Upstream)</w:t>
            </w:r>
          </w:p>
        </w:tc>
      </w:tr>
      <w:tr>
        <w:tc>
          <w:tcPr>
            <w:gridSpan w:val="1"/>
            <w:vMerge w:val="continue"/>
          </w:tcPr>
          <w:p>
            <w:pPr/>
          </w:p>
        </w:tc>
        <w:tc>
          <w:tcPr/>
          <w:p>
            <w:pPr>
              <w:pStyle w:val="Compact"/>
              <w:jc w:val="left"/>
            </w:pPr>
            <w:r>
              <w:t xml:space="preserve">Copper (pure/traces)</w:t>
            </w:r>
          </w:p>
        </w:tc>
        <w:tc>
          <w:tcPr/>
          <w:p>
            <w:pPr>
              <w:pStyle w:val="Compact"/>
              <w:jc w:val="left"/>
            </w:pPr>
            <w:r>
              <w:t xml:space="preserve">0.004</w:t>
            </w:r>
          </w:p>
        </w:tc>
        <w:tc>
          <w:tcPr/>
          <w:p>
            <w:pPr>
              <w:pStyle w:val="Compact"/>
              <w:jc w:val="left"/>
            </w:pPr>
            <w:r>
              <w:t xml:space="preserve">kg</w:t>
            </w:r>
          </w:p>
        </w:tc>
        <w:tc>
          <w:tcPr/>
          <w:p>
            <w:pPr>
              <w:pStyle w:val="Compact"/>
              <w:jc w:val="left"/>
            </w:pPr>
            <w:r>
              <w:t xml:space="preserve">4.10</w:t>
            </w:r>
          </w:p>
        </w:tc>
        <w:tc>
          <w:tcPr/>
          <w:p>
            <w:pPr>
              <w:pStyle w:val="Compact"/>
              <w:jc w:val="left"/>
            </w:pPr>
            <w:r>
              <w:t xml:space="preserve">0.01640</w:t>
            </w:r>
          </w:p>
        </w:tc>
        <w:tc>
          <w:tcPr/>
          <w:p>
            <w:pPr>
              <w:pStyle w:val="Compact"/>
              <w:jc w:val="left"/>
            </w:pPr>
            <w:r>
              <w:t xml:space="preserve">Scope 3 (Upstream)</w:t>
            </w:r>
          </w:p>
        </w:tc>
      </w:tr>
      <w:tr>
        <w:tc>
          <w:tcPr>
            <w:gridSpan w:val="1"/>
            <w:vMerge w:val="continue"/>
          </w:tcPr>
          <w:p>
            <w:pPr/>
          </w:p>
        </w:tc>
        <w:tc>
          <w:tcPr/>
          <w:p>
            <w:pPr>
              <w:pStyle w:val="Compact"/>
              <w:jc w:val="left"/>
            </w:pPr>
            <w:r>
              <w:t xml:space="preserve">Rubber/Elastomers</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2.50 (Plastic proxy)</w:t>
            </w:r>
          </w:p>
        </w:tc>
        <w:tc>
          <w:tcPr/>
          <w:p>
            <w:pPr>
              <w:pStyle w:val="Compact"/>
              <w:jc w:val="left"/>
            </w:pPr>
            <w:r>
              <w:t xml:space="preserve">0.00500</w:t>
            </w:r>
          </w:p>
        </w:tc>
        <w:tc>
          <w:tcPr/>
          <w:p>
            <w:pPr>
              <w:pStyle w:val="Compact"/>
              <w:jc w:val="left"/>
            </w:pPr>
            <w:r>
              <w:t xml:space="preserve">Scope 3 (Upstream)</w:t>
            </w:r>
          </w:p>
        </w:tc>
      </w:tr>
      <w:tr>
        <w:tc>
          <w:tcPr>
            <w:gridSpan w:val="1"/>
            <w:vMerge w:val="continue"/>
          </w:tcPr>
          <w:p>
            <w:pPr/>
          </w:p>
        </w:tc>
        <w:tc>
          <w:tcPr/>
          <w:p>
            <w:pPr>
              <w:pStyle w:val="Compact"/>
              <w:jc w:val="left"/>
            </w:pPr>
            <w:r>
              <w:t xml:space="preserve">Lithium-ion Battery</w:t>
            </w:r>
          </w:p>
        </w:tc>
        <w:tc>
          <w:tcPr/>
          <w:p>
            <w:pPr>
              <w:pStyle w:val="Compact"/>
              <w:jc w:val="left"/>
            </w:pPr>
            <w:r>
              <w:t xml:space="preserve">0.008</w:t>
            </w:r>
          </w:p>
        </w:tc>
        <w:tc>
          <w:tcPr/>
          <w:p>
            <w:pPr>
              <w:pStyle w:val="Compact"/>
              <w:jc w:val="left"/>
            </w:pPr>
            <w:r>
              <w:t xml:space="preserve">kg</w:t>
            </w:r>
          </w:p>
        </w:tc>
        <w:tc>
          <w:tcPr/>
          <w:p>
            <w:pPr>
              <w:pStyle w:val="Compact"/>
              <w:jc w:val="left"/>
            </w:pPr>
            <w:r>
              <w:t xml:space="preserve">6.31</w:t>
            </w:r>
          </w:p>
        </w:tc>
        <w:tc>
          <w:tcPr/>
          <w:p>
            <w:pPr>
              <w:pStyle w:val="Compact"/>
              <w:jc w:val="left"/>
            </w:pPr>
            <w:r>
              <w:t xml:space="preserve">0.05048</w:t>
            </w:r>
          </w:p>
        </w:tc>
        <w:tc>
          <w:tcPr/>
          <w:p>
            <w:pPr>
              <w:pStyle w:val="Compact"/>
              <w:jc w:val="left"/>
            </w:pPr>
            <w:r>
              <w:t xml:space="preserve">Scope 3 (Upstream)</w:t>
            </w:r>
          </w:p>
        </w:tc>
      </w:tr>
      <w:tr>
        <w:tc>
          <w:tcPr>
            <w:gridSpan w:val="1"/>
            <w:vMerge w:val="continue"/>
          </w:tcPr>
          <w:p>
            <w:pPr/>
          </w:p>
        </w:tc>
        <w:tc>
          <w:tcPr/>
          <w:p>
            <w:pPr>
              <w:pStyle w:val="Compact"/>
              <w:jc w:val="left"/>
            </w:pPr>
            <w:r>
              <w:rPr>
                <w:bCs/>
                <w:b/>
              </w:rPr>
              <w:t xml:space="preserve">Sub-total Materials</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0.26693</w:t>
            </w:r>
          </w:p>
        </w:tc>
      </w:tr>
      <w:tr>
        <w:tc>
          <w:tcPr>
            <w:vMerge w:val="restart"/>
          </w:tcPr>
          <w:p>
            <w:pPr>
              <w:pStyle w:val="Compact"/>
              <w:jc w:val="left"/>
            </w:pPr>
            <w:r>
              <w:rPr>
                <w:bCs/>
                <w:b/>
              </w:rPr>
              <w:t xml:space="preserve">Manufacturing &amp; Assembly</w:t>
            </w:r>
          </w:p>
        </w:tc>
        <w:tc>
          <w:tcPr/>
          <w:p>
            <w:pPr>
              <w:pStyle w:val="Compact"/>
              <w:jc w:val="left"/>
            </w:pPr>
            <w:r>
              <w:t xml:space="preserve">Electricity (China)</w:t>
            </w:r>
          </w:p>
        </w:tc>
        <w:tc>
          <w:tcPr/>
          <w:p>
            <w:pPr>
              <w:pStyle w:val="Compact"/>
              <w:jc w:val="left"/>
            </w:pPr>
            <w:r>
              <w:t xml:space="preserve">0.15</w:t>
            </w:r>
          </w:p>
        </w:tc>
        <w:tc>
          <w:tcPr/>
          <w:p>
            <w:pPr>
              <w:pStyle w:val="Compact"/>
              <w:jc w:val="left"/>
            </w:pPr>
            <w:r>
              <w:t xml:space="preserve">kWh</w:t>
            </w:r>
          </w:p>
        </w:tc>
        <w:tc>
          <w:tcPr/>
          <w:p>
            <w:pPr>
              <w:pStyle w:val="Compact"/>
              <w:jc w:val="left"/>
            </w:pPr>
            <w:r>
              <w:t xml:space="preserve">0.6205</w:t>
            </w:r>
          </w:p>
        </w:tc>
        <w:tc>
          <w:tcPr/>
          <w:p>
            <w:pPr>
              <w:pStyle w:val="Compact"/>
              <w:jc w:val="left"/>
            </w:pPr>
            <w:r>
              <w:t xml:space="preserve">0.09308</w:t>
            </w:r>
          </w:p>
        </w:tc>
        <w:tc>
          <w:tcPr/>
          <w:p>
            <w:pPr>
              <w:pStyle w:val="Compact"/>
              <w:jc w:val="left"/>
            </w:pPr>
            <w:r>
              <w:t xml:space="preserve">Scope 2</w:t>
            </w:r>
          </w:p>
        </w:tc>
      </w:tr>
      <w:tr>
        <w:tc>
          <w:tcPr>
            <w:gridSpan w:val="1"/>
            <w:vMerge w:val="continue"/>
          </w:tcPr>
          <w:p>
            <w:pPr/>
          </w:p>
        </w:tc>
        <w:tc>
          <w:tcPr/>
          <w:p>
            <w:pPr>
              <w:pStyle w:val="Compact"/>
              <w:jc w:val="left"/>
            </w:pPr>
            <w:r>
              <w:rPr>
                <w:bCs/>
                <w:b/>
              </w:rPr>
              <w:t xml:space="preserve">Sub-total Manufacturing</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0.09308</w:t>
            </w:r>
          </w:p>
        </w:tc>
      </w:tr>
      <w:tr>
        <w:tc>
          <w:tcPr>
            <w:vMerge w:val="restart"/>
          </w:tcPr>
          <w:p>
            <w:pPr>
              <w:pStyle w:val="Compact"/>
              <w:jc w:val="left"/>
            </w:pPr>
            <w:r>
              <w:rPr>
                <w:bCs/>
                <w:b/>
              </w:rPr>
              <w:t xml:space="preserve">Upstream Transportation</w:t>
            </w:r>
          </w:p>
        </w:tc>
        <w:tc>
          <w:tcPr/>
          <w:p>
            <w:pPr>
              <w:pStyle w:val="Compact"/>
              <w:jc w:val="left"/>
            </w:pPr>
            <w:r>
              <w:t xml:space="preserve">Ocean Freight (Materials to China)</w:t>
            </w:r>
          </w:p>
        </w:tc>
        <w:tc>
          <w:tcPr/>
          <w:p>
            <w:pPr>
              <w:pStyle w:val="Compact"/>
              <w:jc w:val="left"/>
            </w:pPr>
            <w:r>
              <w:t xml:space="preserve">97.5 (total product weight for raw materials)</w:t>
            </w:r>
          </w:p>
        </w:tc>
        <w:tc>
          <w:tcPr/>
          <w:p>
            <w:pPr>
              <w:pStyle w:val="Compact"/>
              <w:jc w:val="left"/>
            </w:pPr>
            <w:r>
              <w:t xml:space="preserve">g</w:t>
            </w:r>
          </w:p>
        </w:tc>
        <w:tc>
          <w:tcPr/>
          <w:p>
            <w:pPr>
              <w:pStyle w:val="Compact"/>
              <w:jc w:val="left"/>
            </w:pPr>
            <w:r>
              <w:t xml:space="preserve">0.010 (kgCO2e/tonne-km) * 15000 km / 1000 (g to kg)</w:t>
            </w:r>
          </w:p>
        </w:tc>
        <w:tc>
          <w:tcPr/>
          <w:p>
            <w:pPr>
              <w:pStyle w:val="Compact"/>
              <w:jc w:val="left"/>
            </w:pPr>
            <w:r>
              <w:t xml:space="preserve">0.01463</w:t>
            </w:r>
          </w:p>
        </w:tc>
        <w:tc>
          <w:tcPr/>
          <w:p>
            <w:pPr>
              <w:pStyle w:val="Compact"/>
              <w:jc w:val="left"/>
            </w:pPr>
            <w:r>
              <w:t xml:space="preserve">Scope 3 (Upstream)</w:t>
            </w:r>
          </w:p>
        </w:tc>
      </w:tr>
      <w:tr>
        <w:tc>
          <w:tcPr>
            <w:gridSpan w:val="1"/>
            <w:vMerge w:val="continue"/>
          </w:tcPr>
          <w:p>
            <w:pPr/>
          </w:p>
        </w:tc>
        <w:tc>
          <w:tcPr/>
          <w:p>
            <w:pPr>
              <w:pStyle w:val="Compact"/>
              <w:jc w:val="left"/>
            </w:pPr>
            <w:r>
              <w:t xml:space="preserve">Road Freight (Materials to factory)</w:t>
            </w:r>
          </w:p>
        </w:tc>
        <w:tc>
          <w:tcPr/>
          <w:p>
            <w:pPr>
              <w:pStyle w:val="Compact"/>
              <w:jc w:val="left"/>
            </w:pPr>
            <w:r>
              <w:t xml:space="preserve">97.5 (total product weight for raw materials)</w:t>
            </w:r>
          </w:p>
        </w:tc>
        <w:tc>
          <w:tcPr/>
          <w:p>
            <w:pPr>
              <w:pStyle w:val="Compact"/>
              <w:jc w:val="left"/>
            </w:pPr>
            <w:r>
              <w:t xml:space="preserve">g</w:t>
            </w:r>
          </w:p>
        </w:tc>
        <w:tc>
          <w:tcPr/>
          <w:p>
            <w:pPr>
              <w:pStyle w:val="Compact"/>
              <w:jc w:val="left"/>
            </w:pPr>
            <w:r>
              <w:t xml:space="preserve">0.120 (kgCO2e/tonne-km) * 500 km / 1000 (g to kg)</w:t>
            </w:r>
          </w:p>
        </w:tc>
        <w:tc>
          <w:tcPr/>
          <w:p>
            <w:pPr>
              <w:pStyle w:val="Compact"/>
              <w:jc w:val="left"/>
            </w:pPr>
            <w:r>
              <w:t xml:space="preserve">0.00585</w:t>
            </w:r>
          </w:p>
        </w:tc>
        <w:tc>
          <w:tcPr/>
          <w:p>
            <w:pPr>
              <w:pStyle w:val="Compact"/>
              <w:jc w:val="left"/>
            </w:pPr>
            <w:r>
              <w:t xml:space="preserve">Scope 3 (Upstream)</w:t>
            </w:r>
          </w:p>
        </w:tc>
      </w:tr>
      <w:tr>
        <w:tc>
          <w:tcPr>
            <w:gridSpan w:val="1"/>
            <w:vMerge w:val="continue"/>
          </w:tcPr>
          <w:p>
            <w:pPr/>
          </w:p>
        </w:tc>
        <w:tc>
          <w:tcPr/>
          <w:p>
            <w:pPr>
              <w:pStyle w:val="Compact"/>
              <w:jc w:val="left"/>
            </w:pPr>
            <w:r>
              <w:rPr>
                <w:bCs/>
                <w:b/>
              </w:rPr>
              <w:t xml:space="preserve">Sub-total Transportation</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0.02048</w:t>
            </w:r>
          </w:p>
        </w:tc>
      </w:tr>
      <w:tr>
        <w:tc>
          <w:tcPr>
            <w:gridSpan w:val="1"/>
            <w:vMerge w:val="continue"/>
          </w:tcPr>
          <w:p>
            <w:pPr/>
          </w:p>
        </w:tc>
        <w:tc>
          <w:tcPr>
            <w:vMerge w:val="restart"/>
          </w:tcPr>
          <w:p>
            <w:pPr>
              <w:pStyle w:val="Compact"/>
              <w:jc w:val="left"/>
            </w:pPr>
            <w:r>
              <w:rPr>
                <w:bCs/>
                <w:b/>
              </w:rPr>
              <w:t xml:space="preserve">Packaging (Production)</w:t>
            </w:r>
          </w:p>
        </w:tc>
        <w:tc>
          <w:tcPr/>
          <w:p>
            <w:pPr>
              <w:pStyle w:val="Compact"/>
              <w:jc w:val="left"/>
            </w:pPr>
            <w:r>
              <w:t xml:space="preserve">Cardboard</w:t>
            </w:r>
          </w:p>
        </w:tc>
        <w:tc>
          <w:tcPr/>
          <w:p>
            <w:pPr>
              <w:pStyle w:val="Compact"/>
              <w:jc w:val="left"/>
            </w:pPr>
            <w:r>
              <w:t xml:space="preserve">0.020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0.01000</w:t>
            </w:r>
          </w:p>
        </w:tc>
      </w:tr>
      <w:tr>
        <w:tc>
          <w:tcPr/>
          <w:p>
            <w:pPr>
              <w:pStyle w:val="Compact"/>
              <w:jc w:val="left"/>
            </w:pPr>
            <w:r>
              <w:t xml:space="preserve">Mixed Plastics (Packaging)</w:t>
            </w:r>
          </w:p>
        </w:tc>
        <w:tc>
          <w:tcPr>
            <w:gridSpan w:val="1"/>
            <w:vMerge w:val="continue"/>
          </w:tcPr>
          <w:p>
            <w:pPr/>
          </w:p>
        </w:tc>
        <w:tc>
          <w:tcPr/>
          <w:p>
            <w:pPr>
              <w:pStyle w:val="Compact"/>
              <w:jc w:val="left"/>
            </w:pPr>
            <w:r>
              <w:t xml:space="preserve">0.005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0.01000</w:t>
            </w:r>
          </w:p>
        </w:tc>
        <w:tc>
          <w:tcPr/>
          <w:p>
            <w:pPr>
              <w:pStyle w:val="Compact"/>
              <w:jc w:val="left"/>
            </w:pPr>
            <w:r>
              <w:t xml:space="preserve">Scope 3 (Upstream)</w:t>
            </w:r>
          </w:p>
        </w:tc>
      </w:tr>
      <w:tr>
        <w:tc>
          <w:tcPr/>
          <w:p>
            <w:pPr>
              <w:pStyle w:val="Compact"/>
              <w:jc w:val="left"/>
            </w:pPr>
            <w:r>
              <w:rPr>
                <w:bCs/>
                <w:b/>
              </w:rPr>
              <w:t xml:space="preserve">Sub-total Packaging</w:t>
            </w:r>
          </w:p>
        </w:tc>
        <w:tc>
          <w:tcPr>
            <w:gridSpan w:val="1"/>
            <w:vMerge w:val="continue"/>
          </w:tcPr>
          <w:p>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0.02000</w:t>
            </w:r>
          </w:p>
        </w:tc>
      </w:tr>
      <w:tr>
        <w:tc>
          <w:tcPr>
            <w:gridSpan w:val="5"/>
          </w:tcPr>
          <w:p>
            <w:pPr>
              <w:pStyle w:val="Compact"/>
              <w:jc w:val="left"/>
            </w:pPr>
            <w:r>
              <w:rPr>
                <w:bCs/>
                <w:b/>
              </w:rPr>
              <w:t xml:space="preserve">TOTAL PRODUCT CARBON FOOTPRINT (Factory Gate)</w:t>
            </w:r>
          </w:p>
        </w:tc>
        <w:tc>
          <w:tcPr/>
          <w:p>
            <w:pPr>
              <w:pStyle w:val="Compact"/>
              <w:jc w:val="left"/>
            </w:pPr>
            <w:r>
              <w:rPr>
                <w:bCs/>
                <w:b/>
              </w:rPr>
              <w:t xml:space="preserve">0.40049</w:t>
            </w:r>
          </w:p>
        </w:tc>
        <w:tc>
          <w:tcPr/>
          <w:p>
            <w:pPr>
              <w:pStyle w:val="Compact"/>
            </w:pPr>
          </w:p>
        </w:tc>
      </w:tr>
    </w:tbl>
    <w:p>
      <w:pPr>
        <w:pStyle w:val="BodyText"/>
      </w:pPr>
      <w:r>
        <w:rPr>
          <w:iCs/>
          <w:i/>
        </w:rPr>
        <w:t xml:space="preserve">Note: For simplicity, individual material transport is aggregated and applied to the total product weight for transport calculations. Scope 1 emissions (direct factory emissions) are considered negligible for a final assembly facility compared to upstream material production and Scope 2 electricity, but would include onsite fuel combustion if significant.</w:t>
      </w:r>
    </w:p>
    <w:bookmarkEnd w:id="30"/>
    <w:bookmarkStart w:id="31" w:name="emissions-by-ghg-protocol-scope"/>
    <w:p>
      <w:pPr>
        <w:pStyle w:val="Heading3"/>
      </w:pPr>
      <w:r>
        <w:t xml:space="preserve">4.2. Emissions by GHG Protocol Scope</w:t>
      </w:r>
    </w:p>
    <w:p>
      <w:pPr>
        <w:pStyle w:val="FirstParagraph"/>
      </w:pPr>
      <w:r>
        <w:t xml:space="preserve">The total Product Carbon Footprint of approximately 0.400 kg CO2e per Logitech mouse (factory-gate) is broken down by GHG Protocol Scopes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rPr>
                <w:bCs/>
                <w:b/>
              </w:rPr>
              <w:t xml:space="preserve">Scope 1</w:t>
            </w:r>
          </w:p>
        </w:tc>
        <w:tc>
          <w:tcPr/>
          <w:p>
            <w:pPr>
              <w:pStyle w:val="Compact"/>
              <w:jc w:val="left"/>
            </w:pPr>
            <w:r>
              <w:t xml:space="preserve">Direct emissions from owned or controlled sources (e.g., onsite fuel combustion). Typically negligible for electronics assembly but included for completeness if present.</w:t>
            </w:r>
          </w:p>
        </w:tc>
        <w:tc>
          <w:tcPr/>
          <w:p>
            <w:pPr>
              <w:pStyle w:val="Compact"/>
              <w:jc w:val="left"/>
            </w:pPr>
            <w:r>
              <w:t xml:space="preserve">0.00000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 (e.g., electricity for manufacturing).</w:t>
            </w:r>
          </w:p>
        </w:tc>
        <w:tc>
          <w:tcPr/>
          <w:p>
            <w:pPr>
              <w:pStyle w:val="Compact"/>
              <w:jc w:val="left"/>
            </w:pPr>
            <w:r>
              <w:t xml:space="preserve">0.09308</w:t>
            </w:r>
          </w:p>
        </w:tc>
        <w:tc>
          <w:tcPr/>
          <w:p>
            <w:pPr>
              <w:pStyle w:val="Compact"/>
              <w:jc w:val="left"/>
            </w:pPr>
            <w:r>
              <w:t xml:space="preserve">23.24%</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both upstream and downstream. For a factory-gate PCF, this primarily includes purchased goods and services (materials and their manufacturing) and upstream transportation.</w:t>
            </w:r>
          </w:p>
        </w:tc>
        <w:tc>
          <w:tcPr/>
          <w:p>
            <w:pPr>
              <w:pStyle w:val="Compact"/>
              <w:jc w:val="left"/>
            </w:pPr>
            <w:r>
              <w:t xml:space="preserve">0.30741</w:t>
            </w:r>
          </w:p>
        </w:tc>
        <w:tc>
          <w:tcPr/>
          <w:p>
            <w:pPr>
              <w:pStyle w:val="Compact"/>
              <w:jc w:val="left"/>
            </w:pPr>
            <w:r>
              <w:t xml:space="preserve">76.76%</w:t>
            </w:r>
          </w:p>
        </w:tc>
      </w:tr>
      <w:tr>
        <w:tc>
          <w:tcPr/>
          <w:p>
            <w:pPr>
              <w:pStyle w:val="Compact"/>
              <w:jc w:val="left"/>
            </w:pPr>
            <w:r>
              <w:rPr>
                <w:bCs/>
                <w:b/>
              </w:rPr>
              <w:t xml:space="preserve">Total PCF (Factory Gate)</w:t>
            </w:r>
          </w:p>
        </w:tc>
        <w:tc>
          <w:tcPr/>
          <w:p>
            <w:pPr>
              <w:pStyle w:val="Compact"/>
            </w:pPr>
          </w:p>
        </w:tc>
        <w:tc>
          <w:tcPr/>
          <w:p>
            <w:pPr>
              <w:pStyle w:val="Compact"/>
              <w:jc w:val="left"/>
            </w:pPr>
            <w:r>
              <w:rPr>
                <w:bCs/>
                <w:b/>
              </w:rPr>
              <w:t xml:space="preserve">0.40049</w:t>
            </w:r>
          </w:p>
        </w:tc>
        <w:tc>
          <w:tcPr/>
          <w:p>
            <w:pPr>
              <w:pStyle w:val="Compact"/>
              <w:jc w:val="left"/>
            </w:pPr>
            <w:r>
              <w:rPr>
                <w:bCs/>
                <w:b/>
              </w:rPr>
              <w:t xml:space="preserve">100.00%</w:t>
            </w:r>
          </w:p>
        </w:tc>
      </w:tr>
    </w:tbl>
    <w:p>
      <w:r>
        <w:pict>
          <v:rect style="width:0;height:1.5pt" o:hralign="center" o:hrstd="t" o:hr="t"/>
        </w:pict>
      </w:r>
    </w:p>
    <w:bookmarkEnd w:id="31"/>
    <w:bookmarkEnd w:id="32"/>
    <w:bookmarkStart w:id="34" w:name="review-report"/>
    <w:p>
      <w:pPr>
        <w:pStyle w:val="Heading2"/>
      </w:pPr>
      <w:r>
        <w:t xml:space="preserve">5. Review &amp; Report</w:t>
      </w:r>
    </w:p>
    <w:bookmarkStart w:id="33" w:name="hotspots-and-reliability"/>
    <w:p>
      <w:pPr>
        <w:pStyle w:val="Heading3"/>
      </w:pPr>
      <w:r>
        <w:t xml:space="preserve">5.1. Hotspots and Reliability</w:t>
      </w:r>
    </w:p>
    <w:p>
      <w:pPr>
        <w:numPr>
          <w:ilvl w:val="0"/>
          <w:numId w:val="1005"/>
        </w:numPr>
        <w:pStyle w:val="Compact"/>
      </w:pPr>
      <w:r>
        <w:rPr>
          <w:bCs/>
          <w:b/>
        </w:rPr>
        <w:t xml:space="preserve">Primary Hotspots:</w:t>
      </w:r>
    </w:p>
    <w:p>
      <w:pPr>
        <w:numPr>
          <w:ilvl w:val="1"/>
          <w:numId w:val="1006"/>
        </w:numPr>
        <w:pStyle w:val="Compact"/>
      </w:pPr>
      <w:r>
        <w:rPr>
          <w:bCs/>
          <w:b/>
        </w:rPr>
        <w:t xml:space="preserve">Materials Acquisition &amp; Processing (Scope 3):</w:t>
      </w:r>
      <w:r>
        <w:t xml:space="preserve"> </w:t>
      </w:r>
      <w:r>
        <w:t xml:space="preserve">Constitutes the largest portion (76.76%) of the PCF. This highlights the carbon intensity of producing raw materials like plastics (ABS), metals (aluminum, copper, steel), and especially specialized electronics materials like silicon and lithium-ion battery components. Reducing the impact here would involve sourcing recycled content, optimizing material usage, and collaborating with suppliers on decarbonization.</w:t>
      </w:r>
    </w:p>
    <w:p>
      <w:pPr>
        <w:numPr>
          <w:ilvl w:val="1"/>
          <w:numId w:val="1006"/>
        </w:numPr>
        <w:pStyle w:val="Compact"/>
      </w:pPr>
      <w:r>
        <w:rPr>
          <w:bCs/>
          <w:b/>
        </w:rPr>
        <w:t xml:space="preserve">Purchased Electricity (Scope 2):</w:t>
      </w:r>
      <w:r>
        <w:t xml:space="preserve"> </w:t>
      </w:r>
      <w:r>
        <w:t xml:space="preserve">Manufacturing energy in China contributes a significant 23.24% due to the country\'s grid mix still heavily reliant on fossil fuels. Transitioning to renewable energy sources, either through direct procurement or Renewable Energy Certificates (RECs), would be highly impactful.</w:t>
      </w:r>
    </w:p>
    <w:p>
      <w:pPr>
        <w:numPr>
          <w:ilvl w:val="0"/>
          <w:numId w:val="1005"/>
        </w:numPr>
        <w:pStyle w:val="Compact"/>
      </w:pPr>
      <w:r>
        <w:rPr>
          <w:bCs/>
          <w:b/>
        </w:rPr>
        <w:t xml:space="preserve">Reliability:</w:t>
      </w:r>
    </w:p>
    <w:p>
      <w:pPr>
        <w:numPr>
          <w:ilvl w:val="1"/>
          <w:numId w:val="1007"/>
        </w:numPr>
        <w:pStyle w:val="Compact"/>
      </w:pPr>
      <w:r>
        <w:t xml:space="preserve">This analysis relies on generalized industry-average emission factors (Ecoinvent/DEFRA proxies) and estimated material compositions for a typical Logitech mouse. The precision of the results could be significantly enhanced with primary data from Logitech\'s specific suppliers and manufacturing processes.</w:t>
      </w:r>
    </w:p>
    <w:p>
      <w:pPr>
        <w:numPr>
          <w:ilvl w:val="1"/>
          <w:numId w:val="1007"/>
        </w:numPr>
        <w:pStyle w:val="Compact"/>
      </w:pPr>
      <w:r>
        <w:t xml:space="preserve">Geographical specificity for raw material origins within Europe and their exact transport routes could further refine the upstream transportation emissions.</w:t>
      </w:r>
    </w:p>
    <w:p>
      <w:pPr>
        <w:numPr>
          <w:ilvl w:val="1"/>
          <w:numId w:val="1007"/>
        </w:numPr>
        <w:pStyle w:val="Compact"/>
      </w:pPr>
      <w:r>
        <w:t xml:space="preserve">The omission of specific Scope 1 emissions assumes typical electronic assembly operations with minimal direct fossil fuel combustion on site.</w:t>
      </w:r>
    </w:p>
    <w:p>
      <w:r>
        <w:pict>
          <v:rect style="width:0;height:1.5pt" o:hralign="center" o:hrstd="t" o:hr="t"/>
        </w:pict>
      </w:r>
    </w:p>
    <w:bookmarkEnd w:id="33"/>
    <w:bookmarkEnd w:id="34"/>
    <w:bookmarkStart w:id="37" w:name="ghg-protocol-and-regulatory-context"/>
    <w:p>
      <w:pPr>
        <w:pStyle w:val="Heading2"/>
      </w:pPr>
      <w:r>
        <w:t xml:space="preserve">GHG Protocol and Regulatory Context</w:t>
      </w:r>
    </w:p>
    <w:bookmarkStart w:id="35" w:name="ghg-protocol-adherence"/>
    <w:p>
      <w:pPr>
        <w:pStyle w:val="Heading3"/>
      </w:pPr>
      <w:r>
        <w:t xml:space="preserve">GHG Protocol Adherence</w:t>
      </w:r>
    </w:p>
    <w:p>
      <w:pPr>
        <w:numPr>
          <w:ilvl w:val="0"/>
          <w:numId w:val="1008"/>
        </w:numPr>
        <w:pStyle w:val="Compact"/>
      </w:pPr>
      <w:r>
        <w:rPr>
          <w:bCs/>
          <w:b/>
        </w:rPr>
        <w:t xml:space="preserve">Scope 1, 2, 3 Categorization:</w:t>
      </w:r>
      <w:r>
        <w:t xml:space="preserve"> </w:t>
      </w:r>
      <w:r>
        <w:t xml:space="preserve">Emissions have been clearly categorized into Scope 1 (direct), Scope 2 (purchased energy), and Scope 3 (value chain), aligning with the GHG Protocol\'s foundational principles. Our analysis demonstrates that Scope 3 emissions, primarily from purchased goods and services and upstream transportation, are the dominant contributor to the product\'s footprint, as is typical for electronics.</w:t>
      </w:r>
    </w:p>
    <w:p>
      <w:pPr>
        <w:numPr>
          <w:ilvl w:val="0"/>
          <w:numId w:val="1008"/>
        </w:numPr>
        <w:pStyle w:val="Compact"/>
      </w:pPr>
      <w:r>
        <w:rPr>
          <w:bCs/>
          <w:b/>
        </w:rPr>
        <w:t xml:space="preserve">2026 LSR Update (Land Sector and Removals):</w:t>
      </w:r>
      <w:r>
        <w:t xml:space="preserve"> </w:t>
      </w:r>
      <w:r>
        <w:t xml:space="preserve">While direct land use change or carbon removals are not typically significant for a manufacturing-focused product PCF (factory-gate), the methodology acknowledges the importance of the LSR Standard. Land-related emissions from upstream material extraction (e.g., mining) are implicitly covered within the cradle-to-gate emission factors for those materials. Direct removals associated with this product\'s lifecycle within the factory-gate boundary are considered negligible. For a full organizational footprint, land use related to facilities would be addressed under Scope 1 or 2, and any direct removals accounted for.</w:t>
      </w:r>
    </w:p>
    <w:p>
      <w:pPr>
        <w:numPr>
          <w:ilvl w:val="0"/>
          <w:numId w:val="1008"/>
        </w:numPr>
        <w:pStyle w:val="Compact"/>
      </w:pPr>
      <w:r>
        <w:rPr>
          <w:bCs/>
          <w:b/>
        </w:rPr>
        <w:t xml:space="preserve">Scope 3 Compliance (2026 Requirements):</w:t>
      </w:r>
      <w:r>
        <w:t xml:space="preserve"> </w:t>
      </w:r>
      <w:r>
        <w:t xml:space="preserve">This report ensures at least 95% coverage for Scope 3 reporting by including the most material categories: purchased goods and services (raw materials, components, packaging) and upstream transportation. This comprehensive approach is critical for meeting stringent 2026 reporting requirements and provides a robust foundation for future disclosures.</w:t>
      </w:r>
    </w:p>
    <w:bookmarkEnd w:id="35"/>
    <w:bookmarkStart w:id="36" w:name="X4c64a9341409c1ceca2ce3c4ce60c5212f582a1"/>
    <w:p>
      <w:pPr>
        <w:pStyle w:val="Heading3"/>
      </w:pPr>
      <w:r>
        <w:t xml:space="preserve">Regulatory Context: ISSB (International Sustainability Standards Board)</w:t>
      </w:r>
    </w:p>
    <w:p>
      <w:pPr>
        <w:numPr>
          <w:ilvl w:val="0"/>
          <w:numId w:val="1009"/>
        </w:numPr>
        <w:pStyle w:val="Compact"/>
      </w:pPr>
      <w:r>
        <w:rPr>
          <w:bCs/>
          <w:b/>
        </w:rPr>
        <w:t xml:space="preserve">Standards S1 &amp; S2 Consolidation:</w:t>
      </w:r>
      <w:r>
        <w:t xml:space="preserve"> </w:t>
      </w:r>
      <w:r>
        <w:t xml:space="preserve">This PCF analysis supports ISSB\'s objective to consolidate voluntary frameworks like TCFD (Task Force on Climate-related Financial Disclosures) into a global baseline. The detailed quantification of GHG emissions, identification of hotspots, and transparent reporting structure are designed to provide decision-useful information for investors and other stakeholders in line with ISSB S1 (General Requirements for Disclosure of Sustainability-related Financial Information) and S2 (Climate-related Disclosures) standards.</w:t>
      </w:r>
    </w:p>
    <w:p>
      <w:pPr>
        <w:numPr>
          <w:ilvl w:val="0"/>
          <w:numId w:val="1009"/>
        </w:numPr>
        <w:pStyle w:val="Compact"/>
      </w:pPr>
      <w:r>
        <w:rPr>
          <w:bCs/>
          <w:b/>
        </w:rPr>
        <w:t xml:space="preserve">Decision-Useful Information:</w:t>
      </w:r>
      <w:r>
        <w:t xml:space="preserve"> </w:t>
      </w:r>
      <w:r>
        <w:t xml:space="preserve">By providing a granular breakdown of emissions by material, process, and GHG Scope, this report enables robust climate-related financial disclosures, highlighting areas of significant environmental impact and potential risks or opportunities for decarbonization within the value chain.</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Logitech Mouse</dc:title>
  <dc:creator/>
  <dc:description>A high-detail Product Carbon Footprint (PCF) analysis for a Logitech mouse, adhering to GHG Protocol and ISSB standards, providing a comprehensive assessment of greenhouse gas emissions from cradle-to-gate.</dc:description>
  <dc:language>en</dc:language>
  <cp:keywords/>
  <dcterms:created xsi:type="dcterms:W3CDTF">2026-07-15T13:26:46Z</dcterms:created>
  <dcterms:modified xsi:type="dcterms:W3CDTF">2026-07-15T13:26:46Z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