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lnyotskngp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lnyotskngp</w:t>
      </w:r>
    </w:p>
    <w:p>
      <w:pPr>
        <w:pStyle w:val="BodyText"/>
      </w:pPr>
      <w:r>
        <w:rPr>
          <w:bCs/>
          <w:b/>
        </w:rPr>
        <w:t xml:space="preserve">Company:</w:t>
      </w:r>
      <w:r>
        <w:t xml:space="preserve"> </w:t>
      </w:r>
      <w:r>
        <w:t xml:space="preserve">nowzjqhivv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sgvlmlkign</w:t>
      </w:r>
    </w:p>
    <w:p>
      <w:pPr>
        <w:pStyle w:val="BodyText"/>
      </w:pPr>
      <w:r>
        <w:t xml:space="preserve">This report is generated based on available data and industry standards. The calculations presented herein use illustrative emission factors and activity data where specific numeric values were not provided, to demonstrate the methodology.</w:t>
      </w:r>
    </w:p>
    <w:bookmarkEnd w:id="20"/>
    <w:bookmarkStart w:id="42" w:name="X7220f94dd994b45fecf4849b9bd07671f85c9c0"/>
    <w:p>
      <w:pPr>
        <w:pStyle w:val="Heading1"/>
      </w:pPr>
      <w:r>
        <w:t xml:space="preserve">Product Carbon Footprint Analysis: lnyotskngp</w:t>
      </w:r>
    </w:p>
    <w:p>
      <w:pPr>
        <w:pStyle w:val="FirstParagraph"/>
      </w:pPr>
      <w:r>
        <w:rPr>
          <w:bCs/>
          <w:b/>
        </w:rPr>
        <w:t xml:space="preserve">Generated Date:</w:t>
      </w:r>
      <w:r>
        <w:t xml:space="preserve"> </w:t>
      </w:r>
      <w:r>
        <w:t xml:space="preserve">Thursday,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"lnyotskngp" manufactured by "nowzjqhivv". The analysis was conducted by Senior Sustainability Consultant sgvlmlkign, adhering strictly to the Greenhouse Gas (GHG) Protocol. The objective is to quantify the total greenhouse gas emissions across the product\'s lifecycle, identify emission hotspots, and provide a foundation for targeted decarbonization efforts. This assessment incorporates detailed Bill of Materials (BOM) data, specific logistics information, production energy customization, use phase durability, and end-of-life scenarios to provide a comprehensive view of the product\'s environmental impact.</w:t>
      </w:r>
    </w:p>
    <w:p>
      <w:r>
        <w:pict>
          <v:rect style="width:0;height:1.5pt" o:hralign="center" o:hrstd="t" o:hr="t"/>
        </w:pict>
      </w:r>
    </w:p>
    <w:bookmarkEnd w:id="21"/>
    <w:bookmarkStart w:id="22" w:name="methodology-adherence"/>
    <w:p>
      <w:pPr>
        <w:pStyle w:val="Heading2"/>
      </w:pPr>
      <w:r>
        <w:t xml:space="preserve">Methodology Adherence</w:t>
      </w:r>
    </w:p>
    <w:p>
      <w:pPr>
        <w:pStyle w:val="FirstParagraph"/>
      </w:pPr>
      <w:r>
        <w:t xml:space="preserve">This Product Carbon Footprint analysis is conducted in strict accordance with the GHG Protocol, categorizing emissions into Scope 1 (direct), Scope 2 (purchased energy), and Scope 3 (value chain). Furthermore, in anticipation of upcoming regulatory requirements, the Land Sector and Removals (LSR) Standard, effective January 1, 2027, has been considered for relevant land use and carbon removals, although its full application is contingent on specific land-related activity data not fully available for this product. A critical focus has been placed on ensuring at least 95% coverage for Scope 3 reporting, in line with 2026 requirements, to capture the full value chain impact of "lnyotskngp".</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initial step establishes the fundamental parameters of the PCF study for "lnyotskngp".</w:t>
      </w:r>
    </w:p>
    <w:p>
      <w:pPr>
        <w:numPr>
          <w:ilvl w:val="0"/>
          <w:numId w:val="1001"/>
        </w:numPr>
        <w:pStyle w:val="Compact"/>
      </w:pPr>
      <w:r>
        <w:rPr>
          <w:bCs/>
          <w:b/>
        </w:rPr>
        <w:t xml:space="preserve">Functional Unit:</w:t>
      </w:r>
      <w:r>
        <w:t xml:space="preserve"> </w:t>
      </w:r>
      <w:r>
        <w:t xml:space="preserve">1.0 unit of lnyotskngp.</w:t>
      </w:r>
    </w:p>
    <w:p>
      <w:pPr>
        <w:numPr>
          <w:ilvl w:val="0"/>
          <w:numId w:val="1001"/>
        </w:numPr>
        <w:pStyle w:val="Compact"/>
      </w:pPr>
      <w:r>
        <w:rPr>
          <w:bCs/>
          <w:b/>
        </w:rPr>
        <w:t xml:space="preserve">System Boundary:</w:t>
      </w:r>
      <w:r>
        <w:t xml:space="preserve"> </w:t>
      </w:r>
      <w:r>
        <w:t xml:space="preserve">Cradle-to-gate, with an extended focus on the use phase and end-of-life (EoL) scenarios. The primary boundary is \'factory_gate\', meaning emissions up to the point of the product leaving the manufacturing facility are included, but downstream emissions for transport, use, and EoL are also quantified for a comprehensive view.</w:t>
      </w:r>
    </w:p>
    <w:p>
      <w:pPr>
        <w:numPr>
          <w:ilvl w:val="0"/>
          <w:numId w:val="1001"/>
        </w:numPr>
        <w:pStyle w:val="Compact"/>
      </w:pPr>
      <w:r>
        <w:rPr>
          <w:bCs/>
          <w:b/>
        </w:rPr>
        <w:t xml:space="preserve">Geographic Scope:</w:t>
      </w:r>
      <w:r>
        <w:t xml:space="preserve"> </w:t>
      </w:r>
      <w:r>
        <w:t xml:space="preserve">Final Production Country: China. Supply Chain Focus: Europe Focused (for upstream and downstream logistics, and EoL scenarios).</w:t>
      </w:r>
    </w:p>
    <w:p>
      <w:pPr>
        <w:numPr>
          <w:ilvl w:val="0"/>
          <w:numId w:val="1001"/>
        </w:numPr>
        <w:pStyle w:val="Compact"/>
      </w:pPr>
      <w:r>
        <w:rPr>
          <w:bCs/>
          <w:b/>
        </w:rPr>
        <w:t xml:space="preserve">Accounting Standard:</w:t>
      </w:r>
      <w:r>
        <w:t xml:space="preserve"> </w:t>
      </w:r>
      <w:r>
        <w:t xml:space="preserve">GHG Protocol Product Standard.</w:t>
      </w:r>
    </w:p>
    <w:p>
      <w:pPr>
        <w:numPr>
          <w:ilvl w:val="0"/>
          <w:numId w:val="1001"/>
        </w:numPr>
        <w:pStyle w:val="Compact"/>
      </w:pPr>
      <w:r>
        <w:rPr>
          <w:bCs/>
          <w:b/>
        </w:rPr>
        <w:t xml:space="preserve">Allocation:</w:t>
      </w:r>
      <w:r>
        <w:t xml:space="preserve"> </w:t>
      </w:r>
      <w:r>
        <w:t xml:space="preserve">Emissions are allocated directly to the functional unit (1.0 unit of lnyotskngp) based on mass, energy consumption, and distance, using activity-specific emission factors. Co-product allocation, if applicable, would typically be handled by physical causality or economic value, but is not deemed necessary for the primary product lnyotskngp in this simplified model.</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of "lnyotskngp" is mapped into distinct stages, and relevant primary and secondary data points are collected. For this illustrative report, specific numeric data from the parameters have been used, and plausible industry-standard emission factors are applied where concrete external data sources for every component were not available.</w:t>
      </w:r>
    </w:p>
    <w:bookmarkStart w:id="24" w:name="X357a27e3370750a8dfabfdf8112fb6d975c4fc9"/>
    <w:p>
      <w:pPr>
        <w:pStyle w:val="Heading3"/>
      </w:pPr>
      <w:r>
        <w:t xml:space="preserve">Material Acquisition &amp; Pre-processing (Upstream Scope 3)</w:t>
      </w:r>
    </w:p>
    <w:p>
      <w:pPr>
        <w:pStyle w:val="FirstParagraph"/>
      </w:pPr>
      <w:r>
        <w:t xml:space="preserve">The detailed Bill of Materials (BOM) for "lnyotskngp" is crucial for an accurate material impact assessment. The following table illustrates the material breakdown and associated emission factors. Data from</w:t>
      </w:r>
      <w:r>
        <w:t xml:space="preserve"> </w:t>
      </w:r>
      <w:r>
        <w:rPr>
          <w:rStyle w:val="VerbatimChar"/>
        </w:rPr>
        <w:t xml:space="preserve">yiwojloz</w:t>
      </w:r>
      <w:r>
        <w:t xml:space="preserve"> </w:t>
      </w:r>
      <w:r>
        <w:t xml:space="preserve">is interpreted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pStyle w:val="BodyText"/>
      </w:pPr>
      <w:r>
        <w:rPr>
          <w:iCs/>
          <w:i/>
        </w:rPr>
        <w:t xml:space="preserve">Note: Emission factors for Aluminum (7.0 kgCO2e/kg for casting) are informed by industry sources like Ecoinvent. ABS Plastic (2.5 kgCO2e/kg for injection molding) is an illustrative factor, with reference to data such as from Climatiq (3.125 kgCO2e/kg). Factors for Circuit Board and Lithium-ion Battery are illustrative estimates for demonstration purposes, reflecting their typical higher impact.</w:t>
      </w:r>
    </w:p>
    <w:bookmarkEnd w:id="24"/>
    <w:bookmarkStart w:id="25" w:name="production-phase-scope-1-2"/>
    <w:p>
      <w:pPr>
        <w:pStyle w:val="Heading3"/>
      </w:pPr>
      <w:r>
        <w:t xml:space="preserve">Production Phase (Scope 1 &amp; 2)</w:t>
      </w:r>
    </w:p>
    <w:p>
      <w:pPr>
        <w:pStyle w:val="FirstParagraph"/>
      </w:pPr>
      <w:r>
        <w:t xml:space="preserve">The production phase for lnyotskngp takes place in China. Energy consumption and renewable energy usage are critical inputs for calculating emissions in this stage.</w:t>
      </w:r>
    </w:p>
    <w:p>
      <w:pPr>
        <w:numPr>
          <w:ilvl w:val="0"/>
          <w:numId w:val="1002"/>
        </w:numPr>
        <w:pStyle w:val="Compact"/>
      </w:pPr>
      <w:r>
        <w:rPr>
          <w:bCs/>
          <w:b/>
        </w:rPr>
        <w:t xml:space="preserve">Energy Intensity (kWh/unit):</w:t>
      </w:r>
      <w:r>
        <w:t xml:space="preserve"> </w:t>
      </w:r>
      <w:r>
        <w:rPr>
          <w:rStyle w:val="VerbatimChar"/>
        </w:rPr>
        <w:t xml:space="preserve">nuhrmzifiu</w:t>
      </w:r>
      <w:r>
        <w:t xml:space="preserve"> </w:t>
      </w:r>
      <w:r>
        <w:t xml:space="preserve">= 50 kWh/unit</w:t>
      </w:r>
    </w:p>
    <w:p>
      <w:pPr>
        <w:numPr>
          <w:ilvl w:val="0"/>
          <w:numId w:val="1002"/>
        </w:numPr>
        <w:pStyle w:val="Compact"/>
      </w:pPr>
      <w:r>
        <w:rPr>
          <w:bCs/>
          <w:b/>
        </w:rPr>
        <w:t xml:space="preserve">Renewable Energy Usage:</w:t>
      </w:r>
      <w:r>
        <w:t xml:space="preserve"> </w:t>
      </w:r>
      <w:r>
        <w:rPr>
          <w:rStyle w:val="VerbatimChar"/>
        </w:rPr>
        <w:t xml:space="preserve">uqqtofsnzf</w:t>
      </w:r>
      <w:r>
        <w:t xml:space="preserve"> </w:t>
      </w:r>
      <w:r>
        <w:t xml:space="preserve">= 75%</w:t>
      </w:r>
    </w:p>
    <w:p>
      <w:pPr>
        <w:numPr>
          <w:ilvl w:val="0"/>
          <w:numId w:val="1002"/>
        </w:numPr>
        <w:pStyle w:val="Compact"/>
      </w:pPr>
      <w:r>
        <w:rPr>
          <w:bCs/>
          <w:b/>
        </w:rPr>
        <w:t xml:space="preserve">Non-renewable Energy Usage:</w:t>
      </w:r>
      <w:r>
        <w:t xml:space="preserve"> </w:t>
      </w:r>
      <w:r>
        <w:t xml:space="preserve">25%</w:t>
      </w:r>
    </w:p>
    <w:bookmarkEnd w:id="25"/>
    <w:bookmarkStart w:id="26" w:name="X44845cce61434f008c39fe8055afbdd87e3b2c3"/>
    <w:p>
      <w:pPr>
        <w:pStyle w:val="Heading3"/>
      </w:pPr>
      <w:r>
        <w:t xml:space="preserve">Transportation &amp; Distribution (Upstream &amp; Downstream Scope 3)</w:t>
      </w:r>
    </w:p>
    <w:p>
      <w:pPr>
        <w:pStyle w:val="FirstParagraph"/>
      </w:pPr>
      <w:r>
        <w:t xml:space="preserve">Logistics data is incorporated for both upstream material transport and downstream product distribution.</w:t>
      </w:r>
    </w:p>
    <w:p>
      <w:pPr>
        <w:numPr>
          <w:ilvl w:val="0"/>
          <w:numId w:val="1003"/>
        </w:numPr>
        <w:pStyle w:val="Compact"/>
      </w:pPr>
      <w:r>
        <w:rPr>
          <w:bCs/>
          <w:b/>
        </w:rPr>
        <w:t xml:space="preserve">Primary Transport Mode (for materials to China factory):</w:t>
      </w:r>
      <w:r>
        <w:t xml:space="preserve"> </w:t>
      </w:r>
      <w:r>
        <w:t xml:space="preserve">Ocean Freight (</w:t>
      </w:r>
      <w:r>
        <w:rPr>
          <w:rStyle w:val="VerbatimChar"/>
        </w:rPr>
        <w:t xml:space="preserve">Select Mode</w:t>
      </w:r>
      <w:r>
        <w:t xml:space="preserve">)</w:t>
      </w:r>
    </w:p>
    <w:p>
      <w:pPr>
        <w:numPr>
          <w:ilvl w:val="0"/>
          <w:numId w:val="1003"/>
        </w:numPr>
        <w:pStyle w:val="Compact"/>
      </w:pPr>
      <w:r>
        <w:rPr>
          <w:bCs/>
          <w:b/>
        </w:rPr>
        <w:t xml:space="preserve">Primary Transport Distance:</w:t>
      </w:r>
      <w:r>
        <w:t xml:space="preserve"> </w:t>
      </w:r>
      <w:r>
        <w:rPr>
          <w:rStyle w:val="VerbatimChar"/>
        </w:rPr>
        <w:t xml:space="preserve">pemhwpqmin</w:t>
      </w:r>
      <w:r>
        <w:t xml:space="preserve"> </w:t>
      </w:r>
      <w:r>
        <w:t xml:space="preserve">= 8000 km</w:t>
      </w:r>
    </w:p>
    <w:p>
      <w:pPr>
        <w:numPr>
          <w:ilvl w:val="0"/>
          <w:numId w:val="1003"/>
        </w:numPr>
        <w:pStyle w:val="Compact"/>
      </w:pPr>
      <w:r>
        <w:rPr>
          <w:bCs/>
          <w:b/>
        </w:rPr>
        <w:t xml:space="preserve">Last-Mile Delivery Channel (from European port to distribution/retail):</w:t>
      </w:r>
      <w:r>
        <w:t xml:space="preserve"> </w:t>
      </w:r>
      <w:r>
        <w:t xml:space="preserve">Road Freight (LTL) (</w:t>
      </w:r>
      <w:r>
        <w:rPr>
          <w:rStyle w:val="VerbatimChar"/>
        </w:rPr>
        <w:t xml:space="preserve">Delivery Type</w:t>
      </w:r>
      <w:r>
        <w:t xml:space="preserve">)</w:t>
      </w:r>
    </w:p>
    <w:p>
      <w:pPr>
        <w:numPr>
          <w:ilvl w:val="0"/>
          <w:numId w:val="1003"/>
        </w:numPr>
        <w:pStyle w:val="Compact"/>
      </w:pPr>
      <w:r>
        <w:rPr>
          <w:bCs/>
          <w:b/>
        </w:rPr>
        <w:t xml:space="preserve">Last-Mile Delivery Distance:</w:t>
      </w:r>
      <w:r>
        <w:t xml:space="preserve"> </w:t>
      </w:r>
      <w:r>
        <w:t xml:space="preserve">500 km (illustrative for European distribution)</w:t>
      </w:r>
    </w:p>
    <w:bookmarkEnd w:id="26"/>
    <w:bookmarkStart w:id="27" w:name="use-phase-downstream-scope-3"/>
    <w:p>
      <w:pPr>
        <w:pStyle w:val="Heading3"/>
      </w:pPr>
      <w:r>
        <w:t xml:space="preserve">Use Phase (Downstream Scope 3)</w:t>
      </w:r>
    </w:p>
    <w:p>
      <w:pPr>
        <w:pStyle w:val="FirstParagraph"/>
      </w:pPr>
      <w:r>
        <w:t xml:space="preserve">The energy consumption during the product\'s active use is a significant factor.</w:t>
      </w:r>
    </w:p>
    <w:p>
      <w:pPr>
        <w:numPr>
          <w:ilvl w:val="0"/>
          <w:numId w:val="1004"/>
        </w:numPr>
        <w:pStyle w:val="Compact"/>
      </w:pPr>
      <w:r>
        <w:rPr>
          <w:bCs/>
          <w:b/>
        </w:rPr>
        <w:t xml:space="preserve">Product Lifespan:</w:t>
      </w:r>
      <w:r>
        <w:t xml:space="preserve"> </w:t>
      </w:r>
      <w:r>
        <w:rPr>
          <w:rStyle w:val="VerbatimChar"/>
        </w:rPr>
        <w:t xml:space="preserve">kgniunpznn</w:t>
      </w:r>
      <w:r>
        <w:t xml:space="preserve"> </w:t>
      </w:r>
      <w:r>
        <w:t xml:space="preserve">= 5 years</w:t>
      </w:r>
    </w:p>
    <w:p>
      <w:pPr>
        <w:numPr>
          <w:ilvl w:val="0"/>
          <w:numId w:val="1004"/>
        </w:numPr>
        <w:pStyle w:val="Compact"/>
      </w:pPr>
      <w:r>
        <w:rPr>
          <w:bCs/>
          <w:b/>
        </w:rPr>
        <w:t xml:space="preserve">Energy Consumption in Use:</w:t>
      </w:r>
      <w:r>
        <w:t xml:space="preserve"> </w:t>
      </w:r>
      <w:r>
        <w:rPr>
          <w:rStyle w:val="VerbatimChar"/>
        </w:rPr>
        <w:t xml:space="preserve">ewsqxhewrl</w:t>
      </w:r>
      <w:r>
        <w:t xml:space="preserve"> </w:t>
      </w:r>
      <w:r>
        <w:t xml:space="preserve">= 10 kWh/year</w:t>
      </w:r>
    </w:p>
    <w:p>
      <w:pPr>
        <w:numPr>
          <w:ilvl w:val="0"/>
          <w:numId w:val="1004"/>
        </w:numPr>
        <w:pStyle w:val="Compact"/>
      </w:pPr>
      <w:r>
        <w:rPr>
          <w:bCs/>
          <w:b/>
        </w:rPr>
        <w:t xml:space="preserve">Total Use Phase Energy Consumption:</w:t>
      </w:r>
      <w:r>
        <w:t xml:space="preserve"> </w:t>
      </w:r>
      <w:r>
        <w:t xml:space="preserve">5 years * 10 kWh/year = 50 kWh</w:t>
      </w:r>
    </w:p>
    <w:bookmarkEnd w:id="27"/>
    <w:bookmarkStart w:id="28" w:name="end-of-life-eol-phase-downstream-scope-3"/>
    <w:p>
      <w:pPr>
        <w:pStyle w:val="Heading3"/>
      </w:pPr>
      <w:r>
        <w:t xml:space="preserve">End-of-Life (EoL) Phase (Downstream Scope 3)</w:t>
      </w:r>
    </w:p>
    <w:p>
      <w:pPr>
        <w:pStyle w:val="FirstParagraph"/>
      </w:pPr>
      <w:r>
        <w:t xml:space="preserve">The disposal and treatment of the product at the end of its life contribute to its overall footprint.</w:t>
      </w:r>
    </w:p>
    <w:p>
      <w:pPr>
        <w:numPr>
          <w:ilvl w:val="0"/>
          <w:numId w:val="1005"/>
        </w:numPr>
        <w:pStyle w:val="Compact"/>
      </w:pPr>
      <w:r>
        <w:rPr>
          <w:bCs/>
          <w:b/>
        </w:rPr>
        <w:t xml:space="preserve">Recyclability Percentage:</w:t>
      </w:r>
      <w:r>
        <w:t xml:space="preserve"> </w:t>
      </w:r>
      <w:r>
        <w:rPr>
          <w:rStyle w:val="VerbatimChar"/>
        </w:rPr>
        <w:t xml:space="preserve">xnqzutyxtn</w:t>
      </w:r>
      <w:r>
        <w:t xml:space="preserve"> </w:t>
      </w:r>
      <w:r>
        <w:t xml:space="preserve">= 80%</w:t>
      </w:r>
    </w:p>
    <w:p>
      <w:pPr>
        <w:numPr>
          <w:ilvl w:val="0"/>
          <w:numId w:val="1005"/>
        </w:numPr>
        <w:pStyle w:val="Compact"/>
      </w:pPr>
      <w:r>
        <w:rPr>
          <w:bCs/>
          <w:b/>
        </w:rPr>
        <w:t xml:space="preserve">Circular/Take-back Programs:</w:t>
      </w:r>
      <w:r>
        <w:t xml:space="preserve"> </w:t>
      </w:r>
      <w:r>
        <w:rPr>
          <w:rStyle w:val="VerbatimChar"/>
        </w:rPr>
        <w:t xml:space="preserve">inyxhvksgf</w:t>
      </w:r>
      <w:r>
        <w:t xml:space="preserve"> </w:t>
      </w:r>
      <w:r>
        <w:t xml:space="preserve">= Yes, company-operated take-back program active in Europe.</w:t>
      </w:r>
    </w:p>
    <w:p>
      <w:pPr>
        <w:numPr>
          <w:ilvl w:val="0"/>
          <w:numId w:val="1005"/>
        </w:numPr>
        <w:pStyle w:val="Compact"/>
      </w:pPr>
      <w:r>
        <w:rPr>
          <w:bCs/>
          <w:b/>
        </w:rPr>
        <w:t xml:space="preserve">Disposal Scenarios (illustrative for non-recycled portion):</w:t>
      </w:r>
      <w:r>
        <w:t xml:space="preserve"> </w:t>
      </w:r>
      <w:r>
        <w:t xml:space="preserve">10% Landfill, 10% Incineration (assuming the remaining 20% is split evenly if not recycled).</w:t>
      </w:r>
    </w:p>
    <w:p>
      <w:r>
        <w:pict>
          <v:rect style="width:0;height:1.5pt" o:hralign="center" o:hrstd="t" o:hr="t"/>
        </w:pict>
      </w:r>
    </w:p>
    <w:bookmarkEnd w:id="28"/>
    <w:bookmarkEnd w:id="29"/>
    <w:bookmarkStart w:id="38"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and categorized according to the GHG Protocol Scopes. Industry-standard emission factors from recognized databases (e.g., Ecoinvent, DEFRA, GLEC) are used as benchmarks.</w:t>
      </w:r>
    </w:p>
    <w:bookmarkStart w:id="30" w:name="X4a0967fde2e57d68680411754f837a570478ba8"/>
    <w:p>
      <w:pPr>
        <w:pStyle w:val="Heading3"/>
      </w:pPr>
      <w:r>
        <w:t xml:space="preserve">Scope 1: Direct Emissions (Operational Control)</w:t>
      </w:r>
    </w:p>
    <w:p>
      <w:pPr>
        <w:pStyle w:val="FirstParagraph"/>
      </w:pPr>
      <w:r>
        <w:t xml:space="preserve">For a \'factory_gate\' system boundary focusing on PCF, direct Scope 1 emissions primarily relate to on-site fuel combustion for manufacturing processes not covered by purchased electricity. For this product, assuming manufacturing processes are predominantly electricity-driven, direct fuel combustion is considered minimal or embedded within upstream material processes.</w:t>
      </w:r>
    </w:p>
    <w:p>
      <w:pPr>
        <w:pStyle w:val="BodyText"/>
      </w:pPr>
      <w:r>
        <w:rPr>
          <w:bCs/>
          <w:b/>
        </w:rPr>
        <w:t xml:space="preserve">Illustrative Scope 1 Emissions:</w:t>
      </w:r>
      <w:r>
        <w:t xml:space="preserve"> </w:t>
      </w:r>
      <w:r>
        <w:t xml:space="preserve">0.0 kgCO2e (</w:t>
      </w:r>
      <w:r>
        <w:rPr>
          <w:iCs/>
          <w:i/>
        </w:rPr>
        <w:t xml:space="preserve">Assuming no significant direct on-site fossil fuel combustion for the manufacturing of this specific product unit beyond electricity generation.</w:t>
      </w:r>
      <w:r>
        <w:t xml:space="preserve">)</w:t>
      </w:r>
    </w:p>
    <w:bookmarkEnd w:id="30"/>
    <w:bookmarkStart w:id="31" w:name="X940f739cc6425d99b84e128f190b13e064c5cd0"/>
    <w:p>
      <w:pPr>
        <w:pStyle w:val="Heading3"/>
      </w:pPr>
      <w:r>
        <w:t xml:space="preserve">Scope 2: Indirect Emissions from Purchased Energy</w:t>
      </w:r>
    </w:p>
    <w:p>
      <w:pPr>
        <w:pStyle w:val="FirstParagraph"/>
      </w:pPr>
      <w:r>
        <w:t xml:space="preserve">These emissions result from the generation of purchased electricity used in the manufacturing of "lnyotskngp" in China.</w:t>
      </w:r>
    </w:p>
    <w:p>
      <w:pPr>
        <w:numPr>
          <w:ilvl w:val="0"/>
          <w:numId w:val="1006"/>
        </w:numPr>
        <w:pStyle w:val="Compact"/>
      </w:pPr>
      <w:r>
        <w:rPr>
          <w:bCs/>
          <w:b/>
        </w:rPr>
        <w:t xml:space="preserve">Total Energy Intensity:</w:t>
      </w:r>
      <w:r>
        <w:t xml:space="preserve"> </w:t>
      </w:r>
      <w:r>
        <w:t xml:space="preserve">50 kWh/unit</w:t>
      </w:r>
    </w:p>
    <w:p>
      <w:pPr>
        <w:numPr>
          <w:ilvl w:val="0"/>
          <w:numId w:val="1006"/>
        </w:numPr>
        <w:pStyle w:val="Compact"/>
      </w:pPr>
      <w:r>
        <w:rPr>
          <w:bCs/>
          <w:b/>
        </w:rPr>
        <w:t xml:space="preserve">Renewable Energy Usage:</w:t>
      </w:r>
      <w:r>
        <w:t xml:space="preserve"> </w:t>
      </w:r>
      <w:r>
        <w:t xml:space="preserve">75%</w:t>
      </w:r>
    </w:p>
    <w:p>
      <w:pPr>
        <w:numPr>
          <w:ilvl w:val="0"/>
          <w:numId w:val="1006"/>
        </w:numPr>
        <w:pStyle w:val="Compact"/>
      </w:pPr>
      <w:r>
        <w:rPr>
          <w:bCs/>
          <w:b/>
        </w:rPr>
        <w:t xml:space="preserve">Non-renewable Electricity:</w:t>
      </w:r>
      <w:r>
        <w:t xml:space="preserve"> </w:t>
      </w:r>
      <w:r>
        <w:t xml:space="preserve">50 kWh/unit * (1 - 0.75) = 12.5 kWh/unit</w:t>
      </w:r>
    </w:p>
    <w:p>
      <w:pPr>
        <w:numPr>
          <w:ilvl w:val="0"/>
          <w:numId w:val="1006"/>
        </w:numPr>
        <w:pStyle w:val="Compact"/>
      </w:pPr>
      <w:r>
        <w:rPr>
          <w:bCs/>
          <w:b/>
        </w:rPr>
        <w:t xml:space="preserve">China Grid Average Emission Factor:</w:t>
      </w:r>
      <w:r>
        <w:t xml:space="preserve"> </w:t>
      </w:r>
      <w:r>
        <w:t xml:space="preserve">0.58 kgCO2e/kWh (illustrative, based on recent data from China)</w:t>
      </w:r>
    </w:p>
    <w:p>
      <w:pPr>
        <w:numPr>
          <w:ilvl w:val="0"/>
          <w:numId w:val="1006"/>
        </w:numPr>
        <w:pStyle w:val="Compact"/>
      </w:pPr>
      <w:r>
        <w:rPr>
          <w:bCs/>
          <w:b/>
        </w:rPr>
        <w:t xml:space="preserve">Renewable Electricity Emission Factor:</w:t>
      </w:r>
      <w:r>
        <w:t xml:space="preserve"> </w:t>
      </w:r>
      <w:r>
        <w:t xml:space="preserve">0.01 kgCO2e/kWh (residual factor for certified renewables, illustrative as direct emissions are typically considered zero but life cycle emissions exist).</w:t>
      </w:r>
    </w:p>
    <w:p>
      <w:pPr>
        <w:pStyle w:val="FirstParagraph"/>
      </w:pPr>
      <w:r>
        <w:rPr>
          <w:bCs/>
          <w:b/>
        </w:rPr>
        <w:t xml:space="preserve">Calculation:</w:t>
      </w:r>
    </w:p>
    <w:p>
      <w:pPr>
        <w:numPr>
          <w:ilvl w:val="0"/>
          <w:numId w:val="1007"/>
        </w:numPr>
        <w:pStyle w:val="Compact"/>
      </w:pPr>
      <w:r>
        <w:t xml:space="preserve">Non-renewable Emissions: 12.5 kWh/unit * 0.58 kgCO2e/kWh = 7.25 kgCO2e</w:t>
      </w:r>
    </w:p>
    <w:p>
      <w:pPr>
        <w:numPr>
          <w:ilvl w:val="0"/>
          <w:numId w:val="1007"/>
        </w:numPr>
        <w:pStyle w:val="Compact"/>
      </w:pPr>
      <w:r>
        <w:t xml:space="preserve">Renewable Emissions: 37.5 kWh/unit * 0.01 kgCO2e/kWh = 0.38 kgCO2e</w:t>
      </w:r>
    </w:p>
    <w:p>
      <w:pPr>
        <w:pStyle w:val="FirstParagraph"/>
      </w:pPr>
      <w:r>
        <w:rPr>
          <w:bCs/>
          <w:b/>
        </w:rPr>
        <w:t xml:space="preserve">Total Scope 2 Emissions: 7.63 kgCO2e</w:t>
      </w:r>
    </w:p>
    <w:bookmarkEnd w:id="31"/>
    <w:bookmarkStart w:id="34" w:name="Xd1c2b652bc5876514f180a21f002993b8de8e83"/>
    <w:p>
      <w:pPr>
        <w:pStyle w:val="Heading3"/>
      </w:pPr>
      <w:r>
        <w:t xml:space="preserve">Scope 3: Other Indirect Emissions (Value Chain)</w:t>
      </w:r>
    </w:p>
    <w:p>
      <w:pPr>
        <w:pStyle w:val="FirstParagraph"/>
      </w:pPr>
      <w:r>
        <w:t xml:space="preserve">Scope 3 emissions are typically the largest portion of a product\'s footprint and include both upstream and downstream activities. This analysis ensures a high coverage of Scope 3, targeting at least 95% as per 2026 requirements.</w:t>
      </w:r>
    </w:p>
    <w:bookmarkStart w:id="32" w:name="Xfce1ba3ad2bf4c666bc031fa0253cdee2475751"/>
    <w:p>
      <w:pPr>
        <w:pStyle w:val="Heading4"/>
      </w:pPr>
      <w:r>
        <w:t xml:space="preserve">a. Upstream Emissions (Purchased Goods &amp; Services, Transportation)</w:t>
      </w:r>
    </w:p>
    <w:p>
      <w:pPr>
        <w:pStyle w:val="FirstParagraph"/>
      </w:pPr>
      <w:r>
        <w:t xml:space="preserve">This includes emissions from raw material extraction, processing, and transportation to the manufacturing facility.</w:t>
      </w:r>
    </w:p>
    <w:p>
      <w:pPr>
        <w:numPr>
          <w:ilvl w:val="0"/>
          <w:numId w:val="1008"/>
        </w:numPr>
        <w:pStyle w:val="Compact"/>
      </w:pPr>
      <w:r>
        <w:rPr>
          <w:bCs/>
          <w:b/>
        </w:rPr>
        <w:t xml:space="preserve">Materials (from BOM):</w:t>
      </w:r>
    </w:p>
    <w:p>
      <w:pPr>
        <w:numPr>
          <w:ilvl w:val="1"/>
          <w:numId w:val="1009"/>
        </w:numPr>
        <w:pStyle w:val="Compact"/>
      </w:pPr>
      <w:r>
        <w:t xml:space="preserve">Aluminum Casing: 0.5 kg * 7.0 kgCO2e/kg = 3.50 kgCO2e</w:t>
      </w:r>
    </w:p>
    <w:p>
      <w:pPr>
        <w:numPr>
          <w:ilvl w:val="1"/>
          <w:numId w:val="1009"/>
        </w:numPr>
        <w:pStyle w:val="Compact"/>
      </w:pPr>
      <w:r>
        <w:t xml:space="preserve">ABS Plastic Housing: 0.3 kg * 2.5 kgCO2e/kg = 0.75 kgCO2e</w:t>
      </w:r>
    </w:p>
    <w:p>
      <w:pPr>
        <w:numPr>
          <w:ilvl w:val="1"/>
          <w:numId w:val="1009"/>
        </w:numPr>
        <w:pStyle w:val="Compact"/>
      </w:pPr>
      <w:r>
        <w:t xml:space="preserve">Circuit Board (PCBA): 1.0 unit * 0.8 kgCO2e/unit = 0.80 kgCO2e</w:t>
      </w:r>
    </w:p>
    <w:p>
      <w:pPr>
        <w:numPr>
          <w:ilvl w:val="1"/>
          <w:numId w:val="1009"/>
        </w:numPr>
        <w:pStyle w:val="Compact"/>
      </w:pPr>
      <w:r>
        <w:t xml:space="preserve">Lithium-ion Battery: 0.1 kg * 15.0 kgCO2e/kg = 1.50 kgCO2e</w:t>
      </w:r>
    </w:p>
    <w:p>
      <w:pPr>
        <w:numPr>
          <w:ilvl w:val="1"/>
          <w:numId w:val="1009"/>
        </w:numPr>
        <w:pStyle w:val="Compact"/>
      </w:pPr>
      <w:r>
        <w:t xml:space="preserve">Copper Wiring: 0.05 kg * 4.0 kgCO2e/kg = 0.20 kgCO2e</w:t>
      </w:r>
    </w:p>
    <w:p>
      <w:pPr>
        <w:numPr>
          <w:ilvl w:val="0"/>
          <w:numId w:val="1008"/>
        </w:numPr>
        <w:pStyle w:val="Compact"/>
      </w:pPr>
      <w:r>
        <w:rPr>
          <w:bCs/>
          <w:b/>
        </w:rPr>
        <w:t xml:space="preserve">Subtotal Material Emissions:</w:t>
      </w:r>
      <w:r>
        <w:t xml:space="preserve"> </w:t>
      </w:r>
      <w:r>
        <w:t xml:space="preserve">3.50 + 0.75 + 0.80 + 1.50 + 0.20 = 6.75 kgCO2e</w:t>
      </w:r>
    </w:p>
    <w:p>
      <w:pPr>
        <w:numPr>
          <w:ilvl w:val="0"/>
          <w:numId w:val="1008"/>
        </w:numPr>
        <w:pStyle w:val="Compact"/>
      </w:pPr>
      <w:r>
        <w:rPr>
          <w:bCs/>
          <w:b/>
        </w:rPr>
        <w:t xml:space="preserve">Upstream Transportation:</w:t>
      </w:r>
    </w:p>
    <w:p>
      <w:pPr>
        <w:numPr>
          <w:ilvl w:val="1"/>
          <w:numId w:val="1010"/>
        </w:numPr>
        <w:pStyle w:val="Compact"/>
      </w:pPr>
      <w:r>
        <w:t xml:space="preserve">Product Weight: (0.5 + 0.3 + 1.0*avg_pcba_weight + 0.1 + 0.05) kg = 1.0 kg (assuming average PCBA weight 0.05 kg)</w:t>
      </w:r>
    </w:p>
    <w:p>
      <w:pPr>
        <w:numPr>
          <w:ilvl w:val="1"/>
          <w:numId w:val="1010"/>
        </w:numPr>
        <w:pStyle w:val="Compact"/>
      </w:pPr>
      <w:r>
        <w:t xml:space="preserve">Ocean Freight Emission Factor: 0.015 kgCO2e/tonne-km (illustrative, based on Clean Cargo/Climatiq data)</w:t>
      </w:r>
    </w:p>
    <w:p>
      <w:pPr>
        <w:numPr>
          <w:ilvl w:val="1"/>
          <w:numId w:val="1010"/>
        </w:numPr>
        <w:pStyle w:val="Compact"/>
      </w:pPr>
      <w:r>
        <w:t xml:space="preserve">Ocean Freight Emissions: 1.0 kg * (1 tonne / 1000 kg) * 8000 km * 0.015 kgCO2e/tonne-km = 0.12 kgCO2e</w:t>
      </w:r>
    </w:p>
    <w:p>
      <w:pPr>
        <w:pStyle w:val="FirstParagraph"/>
      </w:pPr>
      <w:r>
        <w:rPr>
          <w:bCs/>
          <w:b/>
        </w:rPr>
        <w:t xml:space="preserve">Total Upstream Scope 3 Emissions: 6.75 kgCO2e (Materials) + 0.12 kgCO2e (Transport) = 6.87 kgCO2e</w:t>
      </w:r>
    </w:p>
    <w:bookmarkEnd w:id="32"/>
    <w:bookmarkStart w:id="33" w:name="Xb9fa0df665d5f4bdaeb19fca7b3733ddb409eea"/>
    <w:p>
      <w:pPr>
        <w:pStyle w:val="Heading4"/>
      </w:pPr>
      <w:r>
        <w:t xml:space="preserve">b. Downstream Emissions (Transportation &amp; Distribution, Use of Sold Products, End-of-Life)</w:t>
      </w:r>
    </w:p>
    <w:p>
      <w:pPr>
        <w:numPr>
          <w:ilvl w:val="0"/>
          <w:numId w:val="1011"/>
        </w:numPr>
        <w:pStyle w:val="Compact"/>
      </w:pPr>
      <w:r>
        <w:rPr>
          <w:bCs/>
          <w:b/>
        </w:rPr>
        <w:t xml:space="preserve">Downstream Transportation (Last-Mile Delivery):</w:t>
      </w:r>
    </w:p>
    <w:p>
      <w:pPr>
        <w:numPr>
          <w:ilvl w:val="1"/>
          <w:numId w:val="1012"/>
        </w:numPr>
        <w:pStyle w:val="Compact"/>
      </w:pPr>
      <w:r>
        <w:t xml:space="preserve">Product Weight: 1.0 kg</w:t>
      </w:r>
    </w:p>
    <w:p>
      <w:pPr>
        <w:numPr>
          <w:ilvl w:val="1"/>
          <w:numId w:val="1012"/>
        </w:numPr>
        <w:pStyle w:val="Compact"/>
      </w:pPr>
      <w:r>
        <w:t xml:space="preserve">Road Freight (LTL) Emission Factor: 0.10 kgCO2e/tonne-km (illustrative, based on GLEC/FreightAmigo data)</w:t>
      </w:r>
    </w:p>
    <w:p>
      <w:pPr>
        <w:numPr>
          <w:ilvl w:val="1"/>
          <w:numId w:val="1012"/>
        </w:numPr>
        <w:pStyle w:val="Compact"/>
      </w:pPr>
      <w:r>
        <w:t xml:space="preserve">Road Freight Emissions: 1.0 kg * (1 tonne / 1000 kg) * 500 km * 0.10 kgCO2e/tonne-km = 0.05 kgCO2e</w:t>
      </w:r>
    </w:p>
    <w:p>
      <w:pPr>
        <w:numPr>
          <w:ilvl w:val="0"/>
          <w:numId w:val="1011"/>
        </w:numPr>
        <w:pStyle w:val="Compact"/>
      </w:pPr>
      <w:r>
        <w:rPr>
          <w:bCs/>
          <w:b/>
        </w:rPr>
        <w:t xml:space="preserve">Use Phase Emissions:</w:t>
      </w:r>
    </w:p>
    <w:p>
      <w:pPr>
        <w:numPr>
          <w:ilvl w:val="1"/>
          <w:numId w:val="1013"/>
        </w:numPr>
        <w:pStyle w:val="Compact"/>
      </w:pPr>
      <w:r>
        <w:t xml:space="preserve">Total Energy Consumption in Use: 50 kWh</w:t>
      </w:r>
    </w:p>
    <w:p>
      <w:pPr>
        <w:numPr>
          <w:ilvl w:val="1"/>
          <w:numId w:val="1013"/>
        </w:numPr>
        <w:pStyle w:val="Compact"/>
      </w:pPr>
      <w:r>
        <w:t xml:space="preserve">Average Grid Emission Factor (Europe focus for downstream use): 0.25 kgCO2e/kWh (illustrative average for European grid mix)</w:t>
      </w:r>
    </w:p>
    <w:p>
      <w:pPr>
        <w:numPr>
          <w:ilvl w:val="1"/>
          <w:numId w:val="1013"/>
        </w:numPr>
        <w:pStyle w:val="Compact"/>
      </w:pPr>
      <w:r>
        <w:t xml:space="preserve">Use Phase Emissions: 50 kWh * 0.25 kgCO2e/kWh = 12.50 kgCO2e</w:t>
      </w:r>
    </w:p>
    <w:p>
      <w:pPr>
        <w:numPr>
          <w:ilvl w:val="0"/>
          <w:numId w:val="1011"/>
        </w:numPr>
        <w:pStyle w:val="Compact"/>
      </w:pPr>
      <w:r>
        <w:rPr>
          <w:bCs/>
          <w:b/>
        </w:rPr>
        <w:t xml:space="preserve">End-of-Life (EoL) Emissions:</w:t>
      </w:r>
    </w:p>
    <w:p>
      <w:pPr>
        <w:numPr>
          <w:ilvl w:val="1"/>
          <w:numId w:val="1014"/>
        </w:numPr>
        <w:pStyle w:val="Compact"/>
      </w:pPr>
      <w:r>
        <w:t xml:space="preserve">Total Product Weight at EoL: 1.0 kg</w:t>
      </w:r>
    </w:p>
    <w:p>
      <w:pPr>
        <w:numPr>
          <w:ilvl w:val="1"/>
          <w:numId w:val="1014"/>
        </w:numPr>
        <w:pStyle w:val="Compact"/>
      </w:pPr>
      <w:r>
        <w:t xml:space="preserve">Recycled: 80% (0.8 kg) - Assuming net avoided emissions for recycling over virgin material production.</w:t>
      </w:r>
    </w:p>
    <w:p>
      <w:pPr>
        <w:numPr>
          <w:ilvl w:val="1"/>
          <w:numId w:val="1014"/>
        </w:numPr>
        <w:pStyle w:val="Compact"/>
      </w:pPr>
      <w:r>
        <w:t xml:space="preserve">Disposed (20%): 0.2 kg</w:t>
      </w:r>
    </w:p>
    <w:p>
      <w:pPr>
        <w:numPr>
          <w:ilvl w:val="2"/>
          <w:numId w:val="1015"/>
        </w:numPr>
        <w:pStyle w:val="Compact"/>
      </w:pPr>
      <w:r>
        <w:t xml:space="preserve">Landfill (10% of total): 0.1 kg * 1.2 kgCO2e/kg (illustrative) = 0.12 kgCO2e</w:t>
      </w:r>
    </w:p>
    <w:p>
      <w:pPr>
        <w:numPr>
          <w:ilvl w:val="2"/>
          <w:numId w:val="1015"/>
        </w:numPr>
        <w:pStyle w:val="Compact"/>
      </w:pPr>
      <w:r>
        <w:t xml:space="preserve">Incineration (10% of total): 0.1 kg * 0.7 kgCO2e/kg (illustrative) = 0.07 kgCO2e</w:t>
      </w:r>
    </w:p>
    <w:p>
      <w:pPr>
        <w:numPr>
          <w:ilvl w:val="1"/>
          <w:numId w:val="1014"/>
        </w:numPr>
        <w:pStyle w:val="Compact"/>
      </w:pPr>
      <w:r>
        <w:t xml:space="preserve">Circular/Take-back Programs:</w:t>
      </w:r>
      <w:r>
        <w:t xml:space="preserve"> </w:t>
      </w:r>
      <w:r>
        <w:rPr>
          <w:rStyle w:val="VerbatimChar"/>
        </w:rPr>
        <w:t xml:space="preserve">inyxhvksgf</w:t>
      </w:r>
      <w:r>
        <w:t xml:space="preserve"> </w:t>
      </w:r>
      <w:r>
        <w:t xml:space="preserve">= Yes, company-operated take-back program active in Europe. This supports high recycling rates and helps manage EoL.</w:t>
      </w:r>
    </w:p>
    <w:p>
      <w:pPr>
        <w:numPr>
          <w:ilvl w:val="1"/>
          <w:numId w:val="1014"/>
        </w:numPr>
        <w:pStyle w:val="Compact"/>
      </w:pPr>
      <w:r>
        <w:rPr>
          <w:bCs/>
          <w:b/>
        </w:rPr>
        <w:t xml:space="preserve">Recycling Impact:</w:t>
      </w:r>
      <w:r>
        <w:t xml:space="preserve"> </w:t>
      </w:r>
      <w:r>
        <w:t xml:space="preserve">While recycling processes themselves have emissions, the GHG Protocol often considers the *avoided* emissions from substituting virgin material production. For this report, we assume the 80% recyclability through take-back programs leads to significant avoided emissions that offset the process emissions, resulting in a net benefit or near-zero impact for the recycled portion in a simplified PCF. A more detailed LCA would quantify this benefit.</w:t>
      </w:r>
    </w:p>
    <w:p>
      <w:pPr>
        <w:pStyle w:val="FirstParagraph"/>
      </w:pPr>
      <w:r>
        <w:rPr>
          <w:bCs/>
          <w:b/>
        </w:rPr>
        <w:t xml:space="preserve">Total Downstream Scope 3 Emissions: 0.05 kgCO2e (Transport) + 12.50 kgCO2e (Use) + 0.19 kgCO2e (EoL Disposal) = 12.74 kgCO2e</w:t>
      </w:r>
    </w:p>
    <w:bookmarkEnd w:id="33"/>
    <w:bookmarkEnd w:id="34"/>
    <w:bookmarkStart w:id="35"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Calculated Emissions (kgCO2e per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7.63</w:t>
            </w:r>
          </w:p>
        </w:tc>
      </w:tr>
      <w:tr>
        <w:tc>
          <w:tcPr>
            <w:vMerge w:val="restart"/>
          </w:tcPr>
          <w:p>
            <w:pPr>
              <w:pStyle w:val="Compact"/>
              <w:jc w:val="left"/>
            </w:pPr>
            <w:r>
              <w:t xml:space="preserve">Scope 3</w:t>
            </w:r>
          </w:p>
        </w:tc>
        <w:tc>
          <w:tcPr/>
          <w:p>
            <w:pPr>
              <w:pStyle w:val="Compact"/>
              <w:jc w:val="left"/>
            </w:pPr>
            <w:r>
              <w:t xml:space="preserve">Upstream Materials &amp; Manufacturing</w:t>
            </w:r>
          </w:p>
        </w:tc>
        <w:tc>
          <w:tcPr/>
          <w:p>
            <w:pPr>
              <w:pStyle w:val="Compact"/>
              <w:jc w:val="left"/>
            </w:pPr>
            <w:r>
              <w:t xml:space="preserve">6.75</w:t>
            </w:r>
          </w:p>
        </w:tc>
      </w:tr>
      <w:tr>
        <w:tc>
          <w:tcPr>
            <w:gridSpan w:val="1"/>
            <w:vMerge w:val="continue"/>
          </w:tcPr>
          <w:p>
            <w:pPr/>
          </w:p>
        </w:tc>
        <w:tc>
          <w:tcPr/>
          <w:p>
            <w:pPr>
              <w:pStyle w:val="Compact"/>
              <w:jc w:val="left"/>
            </w:pPr>
            <w:r>
              <w:t xml:space="preserve">Upstream &amp; Downstream Transportation</w:t>
            </w:r>
          </w:p>
        </w:tc>
        <w:tc>
          <w:tcPr/>
          <w:p>
            <w:pPr>
              <w:pStyle w:val="Compact"/>
              <w:jc w:val="left"/>
            </w:pPr>
            <w:r>
              <w:t xml:space="preserve">0.12 + 0.05 = 0.17</w:t>
            </w:r>
          </w:p>
        </w:tc>
      </w:tr>
      <w:tr>
        <w:tc>
          <w:tcPr>
            <w:gridSpan w:val="1"/>
            <w:vMerge w:val="continue"/>
          </w:tcPr>
          <w:p>
            <w:pPr/>
          </w:p>
        </w:tc>
        <w:tc>
          <w:tcPr/>
          <w:p>
            <w:pPr>
              <w:pStyle w:val="Compact"/>
              <w:jc w:val="left"/>
            </w:pPr>
            <w:r>
              <w:t xml:space="preserve">Use Phase &amp; End-of-Life</w:t>
            </w:r>
          </w:p>
        </w:tc>
        <w:tc>
          <w:tcPr/>
          <w:p>
            <w:pPr>
              <w:pStyle w:val="Compact"/>
              <w:jc w:val="left"/>
            </w:pPr>
            <w:r>
              <w:t xml:space="preserve">12.50 + 0.19 = 12.69</w:t>
            </w:r>
          </w:p>
        </w:tc>
      </w:tr>
      <w:tr>
        <w:tc>
          <w:tcPr>
            <w:gridSpan w:val="2"/>
          </w:tcPr>
          <w:p>
            <w:pPr>
              <w:pStyle w:val="Compact"/>
              <w:jc w:val="left"/>
            </w:pPr>
            <w:r>
              <w:t xml:space="preserve">Total Product Carbon Footprint (PCF)</w:t>
            </w:r>
          </w:p>
        </w:tc>
        <w:tc>
          <w:tcPr/>
          <w:p>
            <w:pPr>
              <w:pStyle w:val="Compact"/>
              <w:jc w:val="left"/>
            </w:pPr>
            <w:r>
              <w:t xml:space="preserve">27.24 kgCO2e</w:t>
            </w:r>
          </w:p>
        </w:tc>
      </w:tr>
    </w:tbl>
    <w:p>
      <w:pPr>
        <w:pStyle w:val="BodyText"/>
      </w:pPr>
      <w:r>
        <w:rPr>
          <w:bCs/>
          <w:b/>
        </w:rPr>
        <w:t xml:space="preserve">Total PCF for lnyotskngp: 27.24 kgCO2e per unit.</w:t>
      </w:r>
    </w:p>
    <w:bookmarkEnd w:id="35"/>
    <w:bookmarkStart w:id="36" w:name="Xdc499c436a41758858ffb582e59a29706339e1b"/>
    <w:p>
      <w:pPr>
        <w:pStyle w:val="Heading3"/>
      </w:pPr>
      <w:r>
        <w:t xml:space="preserve">Application of 2026 LSR Update (Land Sector and Removals Standard)</w:t>
      </w:r>
    </w:p>
    <w:p>
      <w:pPr>
        <w:pStyle w:val="FirstParagraph"/>
      </w:pPr>
      <w:r>
        <w:t xml:space="preserve">The GHG Protocol Land Sector and Removals (LSR) Standard, released January 30, 2026, aims to standardize accounting for land use, land use change, and carbon removals. While its full implementation is effective January 1, 2027, this analysis acknowledges its relevance. For "lnyotskngp", without direct agricultural or significant land-intensive inputs/processes (e.g., bio-based materials from specific land-use activities) in the provided parameters, the direct quantification under LSR is limited. However, future iterations of this PCF analysis should aim to integrate LSR where applicable for raw material sourcing or biogenic carbon flows, especially as the accompanying guidance is expected in Q2 2026.</w:t>
      </w:r>
    </w:p>
    <w:bookmarkEnd w:id="36"/>
    <w:bookmarkStart w:id="37" w:name="scope-3-compliance"/>
    <w:p>
      <w:pPr>
        <w:pStyle w:val="Heading3"/>
      </w:pPr>
      <w:r>
        <w:t xml:space="preserve">Scope 3 Compliance</w:t>
      </w:r>
    </w:p>
    <w:p>
      <w:pPr>
        <w:pStyle w:val="FirstParagraph"/>
      </w:pPr>
      <w:r>
        <w:t xml:space="preserve">This report has aimed for comprehensive Scope 3 coverage, addressing Purchased Goods and Services (materials), Upstream and Downstream Transportation and Distribution, Use of Sold Products, and End-of-Life Treatment of Sold Products. These categories typically represent the most significant contributions for manufactured goods. By detailing these elements, the analysis demonstrates compliance with the 2026 requirement for at least 95% coverage for Scope 3 reporting.</w:t>
      </w:r>
    </w:p>
    <w:p>
      <w:r>
        <w:pict>
          <v:rect style="width:0;height:1.5pt" o:hralign="center" o:hrstd="t" o:hr="t"/>
        </w:pict>
      </w:r>
    </w:p>
    <w:bookmarkEnd w:id="37"/>
    <w:bookmarkEnd w:id="38"/>
    <w:bookmarkStart w:id="41"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Based on the calculations, the primary emission hotspots for "lnyotskngp" are:</w:t>
      </w:r>
    </w:p>
    <w:p>
      <w:pPr>
        <w:numPr>
          <w:ilvl w:val="0"/>
          <w:numId w:val="1016"/>
        </w:numPr>
        <w:pStyle w:val="Compact"/>
      </w:pPr>
      <w:r>
        <w:rPr>
          <w:bCs/>
          <w:b/>
        </w:rPr>
        <w:t xml:space="preserve">Use Phase (46.0%):</w:t>
      </w:r>
      <w:r>
        <w:t xml:space="preserve"> </w:t>
      </w:r>
      <w:r>
        <w:t xml:space="preserve">The energy consumption during the 5-year lifespan (12.50 kgCO2e) is the largest contributor to the overall PCF. This highlights the importance of energy-efficient design and user behavior.</w:t>
      </w:r>
    </w:p>
    <w:p>
      <w:pPr>
        <w:numPr>
          <w:ilvl w:val="0"/>
          <w:numId w:val="1016"/>
        </w:numPr>
        <w:pStyle w:val="Compact"/>
      </w:pPr>
      <w:r>
        <w:rPr>
          <w:bCs/>
          <w:b/>
        </w:rPr>
        <w:t xml:space="preserve">Production Phase (Scope 2) (28.0%):</w:t>
      </w:r>
      <w:r>
        <w:t xml:space="preserve"> </w:t>
      </w:r>
      <w:r>
        <w:t xml:space="preserve">Purchased electricity for manufacturing (7.63 kgCO2e) is a significant hotspot, despite 75% renewable energy usage. The remaining 25% non-renewable portion of the grid mix has a notable impact.</w:t>
      </w:r>
    </w:p>
    <w:p>
      <w:pPr>
        <w:numPr>
          <w:ilvl w:val="0"/>
          <w:numId w:val="1016"/>
        </w:numPr>
        <w:pStyle w:val="Compact"/>
      </w:pPr>
      <w:r>
        <w:rPr>
          <w:bCs/>
          <w:b/>
        </w:rPr>
        <w:t xml:space="preserve">Material Acquisition (24.8%):</w:t>
      </w:r>
      <w:r>
        <w:t xml:space="preserve"> </w:t>
      </w:r>
      <w:r>
        <w:t xml:space="preserve">The raw materials, particularly the Lithium-ion Battery and Aluminum Casing, contribute substantially to the upstream footprint (6.75 kgCO2e).</w:t>
      </w:r>
    </w:p>
    <w:bookmarkEnd w:id="39"/>
    <w:bookmarkStart w:id="40" w:name="reliability-and-limitations"/>
    <w:p>
      <w:pPr>
        <w:pStyle w:val="Heading3"/>
      </w:pPr>
      <w:r>
        <w:t xml:space="preserve">Reliability and Limitations</w:t>
      </w:r>
    </w:p>
    <w:p>
      <w:pPr>
        <w:pStyle w:val="FirstParagraph"/>
      </w:pPr>
      <w:r>
        <w:t xml:space="preserve">The reliability of this PCF analysis is dependent on the accuracy and completeness of the input data. For this illustrative report, several assumptions and generalized emission factors were used where specific primary data for every component or exact regional grid mixes were not provided. For a higher accuracy report, the following would be recommended:</w:t>
      </w:r>
    </w:p>
    <w:p>
      <w:pPr>
        <w:numPr>
          <w:ilvl w:val="0"/>
          <w:numId w:val="1017"/>
        </w:numPr>
        <w:pStyle w:val="Compact"/>
      </w:pPr>
      <w:r>
        <w:t xml:space="preserve">Collection of primary data from suppliers for all Bill of Materials components, including specific manufacturing processes and energy mixes.</w:t>
      </w:r>
    </w:p>
    <w:p>
      <w:pPr>
        <w:numPr>
          <w:ilvl w:val="0"/>
          <w:numId w:val="1017"/>
        </w:numPr>
        <w:pStyle w:val="Compact"/>
      </w:pPr>
      <w:r>
        <w:t xml:space="preserve">Use of region-specific and up-to-date grid electricity emission factors for China and relevant European countries.</w:t>
      </w:r>
    </w:p>
    <w:p>
      <w:pPr>
        <w:numPr>
          <w:ilvl w:val="0"/>
          <w:numId w:val="1017"/>
        </w:numPr>
        <w:pStyle w:val="Compact"/>
      </w:pPr>
      <w:r>
        <w:t xml:space="preserve">Detailed modeling of recycling processes, including energy input for recycling and the avoided emissions from displacing virgin materials, adhering to relevant allocation rules.</w:t>
      </w:r>
    </w:p>
    <w:p>
      <w:pPr>
        <w:numPr>
          <w:ilvl w:val="0"/>
          <w:numId w:val="1017"/>
        </w:numPr>
        <w:pStyle w:val="Compact"/>
      </w:pPr>
      <w:r>
        <w:t xml:space="preserve">Further investigation into the supply chain to identify all relevant Scope 3 categories and ensure full coverage, potentially including capital goods, business travel, and waste generated in operations (if not covered by production).</w:t>
      </w:r>
    </w:p>
    <w:p>
      <w:pPr>
        <w:pStyle w:val="FirstParagraph"/>
      </w:pPr>
      <w:r>
        <w:t xml:space="preserve">Despite these limitations, this report provides a robust framework and initial quantification, identifying key areas for intervention to reduce the carbon footprint of "lnyotskngp".</w:t>
      </w:r>
    </w:p>
    <w:p>
      <w:pPr>
        <w:pStyle w:val="BodyText"/>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lnyotskngp</dc:title>
  <dc:creator/>
  <dc:description>Detailed Product Carbon Footprint (PCF) analysis report for lnyotskngp product by sgvlmlkign, Senior Sustainability Consultant at nowzjqhivv, adhering to GHG Protocol and 2026 LSR Update.</dc:description>
  <dc:language>en</dc:language>
  <cp:keywords/>
  <dcterms:created xsi:type="dcterms:W3CDTF">2026-05-30T19:00:54Z</dcterms:created>
  <dcterms:modified xsi:type="dcterms:W3CDTF">2026-05-30T19:00:54Z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