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lnmkjlyphm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lnmkjlyphm</w:t>
      </w:r>
    </w:p>
    <w:p>
      <w:pPr>
        <w:pStyle w:val="BodyText"/>
      </w:pPr>
      <w:r>
        <w:rPr>
          <w:bCs/>
          <w:b/>
        </w:rPr>
        <w:t xml:space="preserve">Company Name:</w:t>
      </w:r>
      <w:r>
        <w:t xml:space="preserve"> </w:t>
      </w:r>
      <w:r>
        <w:t xml:space="preserve">kwigwvefwy</w:t>
      </w:r>
    </w:p>
    <w:p>
      <w:pPr>
        <w:pStyle w:val="BodyText"/>
      </w:pPr>
      <w:r>
        <w:rPr>
          <w:bCs/>
          <w:b/>
        </w:rPr>
        <w:t xml:space="preserve">Senior Sustainability Consultant:</w:t>
      </w:r>
      <w:r>
        <w:t xml:space="preserve"> </w:t>
      </w:r>
      <w:r>
        <w:t xml:space="preserve">iwliwhrnmh</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industry standards, and illustrative assumptions for placeholder parameters. The accuracy of the analysis is dependent on the completeness and precision of the underlying data inputs. Real-world values may vary.</w:t>
      </w:r>
    </w:p>
    <w:bookmarkEnd w:id="20"/>
    <w:bookmarkStart w:id="21" w:name="Xc9c723bc9d5b6ae239d2f29f800e1fbb1786b55"/>
    <w:p>
      <w:pPr>
        <w:pStyle w:val="Heading1"/>
      </w:pPr>
      <w:r>
        <w:t xml:space="preserve">Product Carbon Footprint Analysis Report: lnmkjlyphm</w:t>
      </w:r>
    </w:p>
    <w:p>
      <w:pPr>
        <w:pStyle w:val="FirstParagraph"/>
      </w:pPr>
      <w:r>
        <w:rPr>
          <w:bCs/>
          <w:b/>
        </w:rPr>
        <w:t xml:space="preserve">Generated Date:</w:t>
      </w:r>
      <w:r>
        <w:t xml:space="preserve"> </w:t>
      </w:r>
      <w:r>
        <w:t xml:space="preserve">May 23, 2026</w:t>
      </w:r>
    </w:p>
    <w:p>
      <w:pPr>
        <w:pStyle w:val="BodyText"/>
      </w:pPr>
      <w:r>
        <w:rPr>
          <w:bCs/>
          <w:b/>
        </w:rPr>
        <w:t xml:space="preserve">Prepared by:</w:t>
      </w:r>
      <w:r>
        <w:t xml:space="preserve"> </w:t>
      </w:r>
      <w:r>
        <w:t xml:space="preserve">iwliwhrnmh, Senior Sustainability Consultant</w:t>
      </w:r>
    </w:p>
    <w:p>
      <w:pPr>
        <w:pStyle w:val="BodyText"/>
      </w:pPr>
      <w:r>
        <w:rPr>
          <w:bCs/>
          <w:b/>
        </w:rPr>
        <w:t xml:space="preserve">Company:</w:t>
      </w:r>
      <w:r>
        <w:t xml:space="preserve"> </w:t>
      </w:r>
      <w:r>
        <w:t xml:space="preserve">kwigwvefwy</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"lnmkjlyphm" manufactured by "kwigwvefwy". Conducted by iwliwhrnmh, Senior Sustainability Consultant, this analysis adheres to the GHG Protocol Corporate Standard, incorporating the latest 2026 Land Sector and Removals (LSR) update, and aims for at least 95% Scope 3 coverage. Due to the presence of placeholder values for several key parameters, illustrative data has been used to demonstrate the methodology and calculation process. The primary declared system boundary for this PCF is "factory_gate", however, a comprehensive lifecycle perspective is provided to inform on broader environmental impacts across the product\'s lifespan and end-of-life stages. The analysis identifies key emission hotspots and provides a foundational understanding for targeted emission reduction strategies.</w:t>
      </w:r>
    </w:p>
    <w:p>
      <w:r>
        <w:pict>
          <v:rect style="width:0;height:1.5pt" o:hralign="center" o:hrstd="t" o:hr="t"/>
        </w:pict>
      </w:r>
    </w:p>
    <w:bookmarkEnd w:id="22"/>
    <w:bookmarkStart w:id="28" w:name="introduction-and-scope-definition"/>
    <w:p>
      <w:pPr>
        <w:pStyle w:val="Heading2"/>
      </w:pPr>
      <w:r>
        <w:t xml:space="preserve">1. Introduction and Scope Definition</w:t>
      </w:r>
    </w:p>
    <w:p>
      <w:pPr>
        <w:pStyle w:val="FirstParagraph"/>
      </w:pPr>
      <w:r>
        <w:t xml:space="preserve">This Product Carbon Footprint (PCF) analysis quantifies the greenhouse gas (GHG) emissions associated with the product "lnmkjlyphm" throughout its lifecycle. The assessment follows the principles and requirements of the GHG Protocol, providing a robust framework for understanding the product\'s environmental impact.</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lnmkjlyphm</w:t>
      </w:r>
      <w:r>
        <w:t xml:space="preserve">. This serves as the reference basis to which all input and output data are normalized, allowing for consistent and comparable quantification of environmental performance.</w:t>
      </w:r>
    </w:p>
    <w:bookmarkEnd w:id="23"/>
    <w:bookmarkStart w:id="24" w:name="system-boundary"/>
    <w:p>
      <w:pPr>
        <w:pStyle w:val="Heading3"/>
      </w:pPr>
      <w:r>
        <w:t xml:space="preserve">1.2. System Boundary</w:t>
      </w:r>
    </w:p>
    <w:p>
      <w:pPr>
        <w:pStyle w:val="FirstParagraph"/>
      </w:pPr>
      <w:r>
        <w:t xml:space="preserve">The primary declared system boundary for this PCF report is</w:t>
      </w:r>
      <w:r>
        <w:t xml:space="preserve"> </w:t>
      </w:r>
      <w:r>
        <w:rPr>
          <w:bCs/>
          <w:b/>
        </w:rPr>
        <w:t xml:space="preserve">factory_gate</w:t>
      </w:r>
      <w:r>
        <w:t xml:space="preserve">. This means the analysis specifically quantifies emissions from raw material extraction, component manufacturing, and transportation to the factory, through to the product\'s manufacturing process and packaging, up to the point it leaves the final production facility (the \'gate\').</w:t>
      </w:r>
    </w:p>
    <w:p>
      <w:pPr>
        <w:pStyle w:val="BodyText"/>
      </w:pPr>
      <w:r>
        <w:t xml:space="preserve">However, to provide a holistic view of the product\'s environmental impact and in alignment with evolving GHG Protocol requirements for comprehensive Scope 3 reporting, this report also includes an extended analysis of emissions from the use phase and end-of-life (EoL) scenarios. While not strictly part of the "factory_gate" declared boundary, these additional stages are critical for a full lifecycle understanding and identifying potential hotspots beyond direct manufacturing control.</w:t>
      </w:r>
    </w:p>
    <w:p>
      <w:pPr>
        <w:pStyle w:val="BodyText"/>
      </w:pPr>
      <w:r>
        <w:t xml:space="preserve">The system boundaries encompass the following lifecycle stages:</w:t>
      </w:r>
    </w:p>
    <w:p>
      <w:pPr>
        <w:numPr>
          <w:ilvl w:val="0"/>
          <w:numId w:val="1001"/>
        </w:numPr>
        <w:pStyle w:val="Compact"/>
      </w:pPr>
      <w:r>
        <w:rPr>
          <w:bCs/>
          <w:b/>
        </w:rPr>
        <w:t xml:space="preserve">Raw Material Acquisition &amp; Pre-processing:</w:t>
      </w:r>
      <w:r>
        <w:t xml:space="preserve"> </w:t>
      </w:r>
      <w:r>
        <w:t xml:space="preserve">Extraction, processing, and refining of raw materials.</w:t>
      </w:r>
    </w:p>
    <w:p>
      <w:pPr>
        <w:numPr>
          <w:ilvl w:val="0"/>
          <w:numId w:val="1001"/>
        </w:numPr>
        <w:pStyle w:val="Compact"/>
      </w:pPr>
      <w:r>
        <w:rPr>
          <w:bCs/>
          <w:b/>
        </w:rPr>
        <w:t xml:space="preserve">Manufacturing:</w:t>
      </w:r>
      <w:r>
        <w:t xml:space="preserve"> </w:t>
      </w:r>
      <w:r>
        <w:t xml:space="preserve">Production of components and final assembly of the product.</w:t>
      </w:r>
    </w:p>
    <w:p>
      <w:pPr>
        <w:numPr>
          <w:ilvl w:val="0"/>
          <w:numId w:val="1001"/>
        </w:numPr>
        <w:pStyle w:val="Compact"/>
      </w:pPr>
      <w:r>
        <w:rPr>
          <w:bCs/>
          <w:b/>
        </w:rPr>
        <w:t xml:space="preserve">Transportation:</w:t>
      </w:r>
      <w:r>
        <w:t xml:space="preserve"> </w:t>
      </w:r>
      <w:r>
        <w:t xml:space="preserve">Logistics of raw materials and components to the factory.</w:t>
      </w:r>
    </w:p>
    <w:p>
      <w:pPr>
        <w:numPr>
          <w:ilvl w:val="0"/>
          <w:numId w:val="1001"/>
        </w:numPr>
        <w:pStyle w:val="Compact"/>
      </w:pPr>
      <w:r>
        <w:rPr>
          <w:bCs/>
          <w:b/>
        </w:rPr>
        <w:t xml:space="preserve">Use Phase (Extended Analysis):</w:t>
      </w:r>
      <w:r>
        <w:t xml:space="preserve"> </w:t>
      </w:r>
      <w:r>
        <w:t xml:space="preserve">Emissions associated with product usage over its lifespan.</w:t>
      </w:r>
    </w:p>
    <w:p>
      <w:pPr>
        <w:numPr>
          <w:ilvl w:val="0"/>
          <w:numId w:val="1001"/>
        </w:numPr>
        <w:pStyle w:val="Compact"/>
      </w:pPr>
      <w:r>
        <w:rPr>
          <w:bCs/>
          <w:b/>
        </w:rPr>
        <w:t xml:space="preserve">End-of-Life (Extended Analysis):</w:t>
      </w:r>
      <w:r>
        <w:t xml:space="preserve"> </w:t>
      </w:r>
      <w:r>
        <w:t xml:space="preserve">Emissions/avoided emissions from disposal, recycling, or circular programs.</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significant sourcing of materials and components from Europe for manufacturing in China).</w:t>
      </w:r>
    </w:p>
    <w:bookmarkEnd w:id="25"/>
    <w:bookmarkStart w:id="26"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 Product Standard</w:t>
      </w:r>
      <w:r>
        <w:t xml:space="preserve"> </w:t>
      </w:r>
      <w:r>
        <w:t xml:space="preserve">and considers relevant aspects of the</w:t>
      </w:r>
      <w:r>
        <w:t xml:space="preserve"> </w:t>
      </w:r>
      <w:r>
        <w:rPr>
          <w:bCs/>
          <w:b/>
        </w:rPr>
        <w:t xml:space="preserve">GHG Protocol Corporate Standard</w:t>
      </w:r>
      <w:r>
        <w:t xml:space="preserve"> </w:t>
      </w:r>
      <w:r>
        <w:t xml:space="preserve">for organizational emission categorization (Scope 1, 2, 3).</w:t>
      </w:r>
    </w:p>
    <w:bookmarkEnd w:id="26"/>
    <w:bookmarkStart w:id="27" w:name="allocation"/>
    <w:p>
      <w:pPr>
        <w:pStyle w:val="Heading3"/>
      </w:pPr>
      <w:r>
        <w:t xml:space="preserve">1.5. Allocation</w:t>
      </w:r>
    </w:p>
    <w:p>
      <w:pPr>
        <w:pStyle w:val="FirstParagraph"/>
      </w:pPr>
      <w:r>
        <w:t xml:space="preserve">Allocation of emissions for multi-output processes or shared facilities is performed based on physical relationships (e.g., mass, energy content) where feasible. In cases where physical allocation is not appropriate, economic allocation or system expansion (for recycling/circular programs) is applied, consistent with GHG Protocol guidance.</w:t>
      </w:r>
    </w:p>
    <w:p>
      <w:r>
        <w:pict>
          <v:rect style="width:0;height:1.5pt" o:hralign="center" o:hrstd="t" o:hr="t"/>
        </w:pict>
      </w:r>
    </w:p>
    <w:bookmarkEnd w:id="27"/>
    <w:bookmarkEnd w:id="28"/>
    <w:bookmarkStart w:id="35" w:name="X35745a8e252718d5a0d40cb3fbfce10aee0336d"/>
    <w:p>
      <w:pPr>
        <w:pStyle w:val="Heading2"/>
      </w:pPr>
      <w:r>
        <w:t xml:space="preserve">2. Lifecycle Mapping (LCI Inventory Stages) &amp; Data Collection</w:t>
      </w:r>
    </w:p>
    <w:p>
      <w:pPr>
        <w:pStyle w:val="FirstParagraph"/>
      </w:pPr>
      <w:r>
        <w:t xml:space="preserve">This section details the lifecycle stages considered and the data collection approach for compiling the Life Cycle Inventory (LCI). As several parameters were provided as placeholders, illustrative data has been used for demonstration purposes.</w:t>
      </w:r>
    </w:p>
    <w:bookmarkStart w:id="30" w:name="detailed-bill-of-materials-bom-analysis"/>
    <w:p>
      <w:pPr>
        <w:pStyle w:val="Heading3"/>
      </w:pPr>
      <w:r>
        <w:t xml:space="preserve">2.1. Detailed Bill of Materials (BOM) Analysis</w:t>
      </w:r>
    </w:p>
    <w:p>
      <w:pPr>
        <w:pStyle w:val="FirstParagraph"/>
      </w:pPr>
      <w:r>
        <w:t xml:space="preserve">The provided parameter `xlrptfyw` serves as a placeholder for the Detailed Bill of Materials (BOM). For the purpose of this report, an illustrative BOM dataset has been created, following the specified format (ID, Description, Category, Process, Qty, Unit, Emission Factor (kg CO2e/unit or kg), Total Carbon (kg CO2e)). This data is crucial for calculating the material-related impacts in the raw material acquisition and manufacturing stages.</w:t>
      </w:r>
    </w:p>
    <w:bookmarkStart w:id="29" w:name="Xac7e63dfa5c6f9ae5b4624a1d0fe1b02ba52ed5"/>
    <w:p>
      <w:pPr>
        <w:pStyle w:val="Heading4"/>
      </w:pPr>
      <w:r>
        <w:t xml:space="preserve">Illustrative Detailed Bill of Materials (BOM) for lnmkjlyphm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0.875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8.00</w:t>
            </w:r>
          </w:p>
        </w:tc>
        <w:tc>
          <w:tcPr/>
          <w:p>
            <w:pPr>
              <w:pStyle w:val="Compact"/>
              <w:jc w:val="left"/>
            </w:pPr>
            <w:r>
              <w:t xml:space="preserve">1.200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1.200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1.250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0.100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Paper/Packaging</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0.080</w:t>
            </w:r>
          </w:p>
        </w:tc>
      </w:tr>
    </w:tbl>
    <w:p>
      <w:pPr>
        <w:pStyle w:val="BodyText"/>
      </w:pPr>
      <w:r>
        <w:rPr>
          <w:iCs/>
          <w:i/>
        </w:rPr>
        <w:t xml:space="preserve">Note: The "Total Carbon" values in the BOM table above are calculated as Qty * Emission Factor. The provided parameter `xlrptfyw` was treated as a placeholder for this detailed data.</w:t>
      </w:r>
    </w:p>
    <w:bookmarkEnd w:id="29"/>
    <w:bookmarkEnd w:id="30"/>
    <w:bookmarkStart w:id="31" w:name="energy-inputs-for-production"/>
    <w:p>
      <w:pPr>
        <w:pStyle w:val="Heading3"/>
      </w:pPr>
      <w:r>
        <w:t xml:space="preserve">2.2. Energy Inputs for Production</w:t>
      </w:r>
    </w:p>
    <w:p>
      <w:pPr>
        <w:pStyle w:val="FirstParagraph"/>
      </w:pPr>
      <w:r>
        <w:t xml:space="preserve">The energy consumed during the manufacturing of lnmkjlyphm is a significant contributor to the product\'s carbon footprint.</w:t>
      </w:r>
    </w:p>
    <w:p>
      <w:pPr>
        <w:numPr>
          <w:ilvl w:val="0"/>
          <w:numId w:val="1003"/>
        </w:numPr>
        <w:pStyle w:val="Compact"/>
      </w:pPr>
      <w:r>
        <w:rPr>
          <w:bCs/>
          <w:b/>
        </w:rPr>
        <w:t xml:space="preserve">Energy Intensity (kWh/unit):</w:t>
      </w:r>
      <w:r>
        <w:t xml:space="preserve"> </w:t>
      </w:r>
      <w:r>
        <w:t xml:space="preserve">`dhkpkgehil` (Illustrative assumption: 1.5 kWh/unit)</w:t>
      </w:r>
    </w:p>
    <w:p>
      <w:pPr>
        <w:numPr>
          <w:ilvl w:val="0"/>
          <w:numId w:val="1003"/>
        </w:numPr>
        <w:pStyle w:val="Compact"/>
      </w:pPr>
      <w:r>
        <w:rPr>
          <w:bCs/>
          <w:b/>
        </w:rPr>
        <w:t xml:space="preserve">Renewable Energy Usage:</w:t>
      </w:r>
      <w:r>
        <w:t xml:space="preserve"> </w:t>
      </w:r>
      <w:r>
        <w:t xml:space="preserve">`xkwniuwgrt` (Illustrative assumption: 70%)</w:t>
      </w:r>
    </w:p>
    <w:p>
      <w:pPr>
        <w:pStyle w:val="FirstParagraph"/>
      </w:pPr>
      <w:r>
        <w:t xml:space="preserve">This data allows for the calculation of grid electricity consumption and the associated emissions, considering the impact of renewable energy procurement.</w:t>
      </w:r>
    </w:p>
    <w:bookmarkEnd w:id="31"/>
    <w:bookmarkStart w:id="32" w:name="logistics-data"/>
    <w:p>
      <w:pPr>
        <w:pStyle w:val="Heading3"/>
      </w:pPr>
      <w:r>
        <w:t xml:space="preserve">2.3. Logistics Data</w:t>
      </w:r>
    </w:p>
    <w:p>
      <w:pPr>
        <w:pStyle w:val="FirstParagraph"/>
      </w:pPr>
      <w:r>
        <w:t xml:space="preserve">Transportation emissions are accounted for in both the upstream supply chain (material/component delivery to factory) and downstream distribution (final product to customer).</w:t>
      </w:r>
    </w:p>
    <w:p>
      <w:pPr>
        <w:numPr>
          <w:ilvl w:val="0"/>
          <w:numId w:val="1004"/>
        </w:numPr>
        <w:pStyle w:val="Compact"/>
      </w:pPr>
      <w:r>
        <w:rPr>
          <w:bCs/>
          <w:b/>
        </w:rPr>
        <w:t xml:space="preserve">Component Transport Mode (Illustrative):</w:t>
      </w:r>
      <w:r>
        <w:t xml:space="preserve"> </w:t>
      </w:r>
      <w:r>
        <w:t xml:space="preserve">Ocean Freight (for Europe to China supply chain) and Road Freight (for local deliveries). The parameter `Select Mode` was a placeholder.</w:t>
      </w:r>
    </w:p>
    <w:p>
      <w:pPr>
        <w:numPr>
          <w:ilvl w:val="0"/>
          <w:numId w:val="1004"/>
        </w:numPr>
        <w:pStyle w:val="Compact"/>
      </w:pPr>
      <w:r>
        <w:rPr>
          <w:bCs/>
          <w:b/>
        </w:rPr>
        <w:t xml:space="preserve">Average Component Transport Distance (Illustrative):</w:t>
      </w:r>
      <w:r>
        <w:t xml:space="preserve"> </w:t>
      </w:r>
      <w:r>
        <w:t xml:space="preserve">`fdxjpwxzhf` (Illustrative assumption: 8,000 km for ocean freight from Europe to China, plus 500 km road freight within Europe/China for components). The provided `fdxjpwxzhf` is interpreted as a primary transport distance.</w:t>
      </w:r>
    </w:p>
    <w:p>
      <w:pPr>
        <w:numPr>
          <w:ilvl w:val="0"/>
          <w:numId w:val="1004"/>
        </w:numPr>
        <w:pStyle w:val="Compact"/>
      </w:pPr>
      <w:r>
        <w:rPr>
          <w:bCs/>
          <w:b/>
        </w:rPr>
        <w:t xml:space="preserve">Final Product Distribution Mode (Illustrative):</w:t>
      </w:r>
      <w:r>
        <w:t xml:space="preserve"> </w:t>
      </w:r>
      <w:r>
        <w:t xml:space="preserve">Ocean Freight (China to target markets), Road Freight (in-country).</w:t>
      </w:r>
    </w:p>
    <w:p>
      <w:pPr>
        <w:numPr>
          <w:ilvl w:val="0"/>
          <w:numId w:val="1004"/>
        </w:numPr>
        <w:pStyle w:val="Compact"/>
      </w:pPr>
      <w:r>
        <w:rPr>
          <w:bCs/>
          <w:b/>
        </w:rPr>
        <w:t xml:space="preserve">Last-Mile Delivery Channel:</w:t>
      </w:r>
      <w:r>
        <w:t xml:space="preserve"> </w:t>
      </w:r>
      <w:r>
        <w:t xml:space="preserve">`Delivery Type` (Illustrative assumption: Parcel Post)</w:t>
      </w:r>
    </w:p>
    <w:bookmarkEnd w:id="32"/>
    <w:bookmarkStart w:id="33" w:name="use-phase-data"/>
    <w:p>
      <w:pPr>
        <w:pStyle w:val="Heading3"/>
      </w:pPr>
      <w:r>
        <w:t xml:space="preserve">2.4. Use Phase Data</w:t>
      </w:r>
    </w:p>
    <w:p>
      <w:pPr>
        <w:pStyle w:val="FirstParagraph"/>
      </w:pPr>
      <w:r>
        <w:t xml:space="preserve">Emissions during the use phase are primarily driven by energy consumption over the product\'s functional lifespan.</w:t>
      </w:r>
    </w:p>
    <w:p>
      <w:pPr>
        <w:numPr>
          <w:ilvl w:val="0"/>
          <w:numId w:val="1005"/>
        </w:numPr>
        <w:pStyle w:val="Compact"/>
      </w:pPr>
      <w:r>
        <w:rPr>
          <w:bCs/>
          <w:b/>
        </w:rPr>
        <w:t xml:space="preserve">Product Lifespan:</w:t>
      </w:r>
      <w:r>
        <w:t xml:space="preserve"> </w:t>
      </w:r>
      <w:r>
        <w:t xml:space="preserve">`njmwsihvrx` (Illustrative assumption: 5 years)</w:t>
      </w:r>
    </w:p>
    <w:p>
      <w:pPr>
        <w:numPr>
          <w:ilvl w:val="0"/>
          <w:numId w:val="1005"/>
        </w:numPr>
        <w:pStyle w:val="Compact"/>
      </w:pPr>
      <w:r>
        <w:rPr>
          <w:bCs/>
          <w:b/>
        </w:rPr>
        <w:t xml:space="preserve">Energy Consumption in Use:</w:t>
      </w:r>
      <w:r>
        <w:t xml:space="preserve"> </w:t>
      </w:r>
      <w:r>
        <w:t xml:space="preserve">`gjfprnuvok` (Illustrative assumption: 10 kWh/year)</w:t>
      </w:r>
    </w:p>
    <w:bookmarkEnd w:id="33"/>
    <w:bookmarkStart w:id="34" w:name="end-of-life-eol-scenarios"/>
    <w:p>
      <w:pPr>
        <w:pStyle w:val="Heading3"/>
      </w:pPr>
      <w:r>
        <w:t xml:space="preserve">2.5. End-of-Life (EoL) Scenarios</w:t>
      </w:r>
    </w:p>
    <w:p>
      <w:pPr>
        <w:pStyle w:val="FirstParagraph"/>
      </w:pPr>
      <w:r>
        <w:t xml:space="preserve">The end-of-life management significantly influences the overall carbon footprint, especially with circular economy considerations.</w:t>
      </w:r>
    </w:p>
    <w:p>
      <w:pPr>
        <w:numPr>
          <w:ilvl w:val="0"/>
          <w:numId w:val="1006"/>
        </w:numPr>
        <w:pStyle w:val="Compact"/>
      </w:pPr>
      <w:r>
        <w:rPr>
          <w:bCs/>
          <w:b/>
        </w:rPr>
        <w:t xml:space="preserve">Recyclability Percentage:</w:t>
      </w:r>
      <w:r>
        <w:t xml:space="preserve"> </w:t>
      </w:r>
      <w:r>
        <w:t xml:space="preserve">`iqjjivwzif` (Illustrative assumption: 80%)</w:t>
      </w:r>
    </w:p>
    <w:p>
      <w:pPr>
        <w:numPr>
          <w:ilvl w:val="0"/>
          <w:numId w:val="1006"/>
        </w:numPr>
        <w:pStyle w:val="Compact"/>
      </w:pPr>
      <w:r>
        <w:rPr>
          <w:bCs/>
          <w:b/>
        </w:rPr>
        <w:t xml:space="preserve">Circular/Take-back Programs:</w:t>
      </w:r>
      <w:r>
        <w:t xml:space="preserve"> </w:t>
      </w:r>
      <w:r>
        <w:t xml:space="preserve">`rxkrzyqxsy` (Illustrative assumption: Yes, company-operated take-back and refurbishment program)</w:t>
      </w:r>
    </w:p>
    <w:p>
      <w:r>
        <w:pict>
          <v:rect style="width:0;height:1.5pt" o:hralign="center" o:hrstd="t" o:hr="t"/>
        </w:pict>
      </w:r>
    </w:p>
    <w:bookmarkEnd w:id="34"/>
    <w:bookmarkEnd w:id="35"/>
    <w:bookmarkStart w:id="44" w:name="Xdd1c2ba429305467bad58a0828410d9d0fce25c"/>
    <w:p>
      <w:pPr>
        <w:pStyle w:val="Heading2"/>
      </w:pPr>
      <w:r>
        <w:t xml:space="preserve">3. Emissions Calculation (Activity * Emission Factor = CO2e)</w:t>
      </w:r>
    </w:p>
    <w:p>
      <w:pPr>
        <w:pStyle w:val="FirstParagraph"/>
      </w:pPr>
      <w:r>
        <w:t xml:space="preserve">Emissions are calculated for each lifecycle stage by multiplying activity data (e.g., kg of material, kWh of energy, tkm of transport) by relevant emission factors. Emission factors are sourced from industry-standard databases (e.g., Ecoinvent, DEFRA, national energy grids). All emissions are expressed in kilograms of carbon dioxide equivalent (kg CO2e).</w:t>
      </w:r>
    </w:p>
    <w:p>
      <w:pPr>
        <w:pStyle w:val="BodyText"/>
      </w:pPr>
      <w:r>
        <w:t xml:space="preserve">**GHG Protocol Categorization:** Emissions are categorized into Scope 1 (direct), Scope 2 (purchased energy), and Scope 3 (value chain) to align with corporate reporting standards.</w:t>
      </w:r>
    </w:p>
    <w:p>
      <w:pPr>
        <w:pStyle w:val="BodyText"/>
      </w:pPr>
      <w:r>
        <w:t xml:space="preserve">**2026 LSR Update:** The Land Sector and Removals (LSR) Standard is applied, where applicable, to account for land use emissions and carbon removals (e.g., from bio-based materials or carbon sequestration initiatives). For this specific product, direct land use change is assumed minimal, but potential biogenic carbon flows in packaging (e.g., recycled cardboard) or circular programs are considered.</w:t>
      </w:r>
    </w:p>
    <w:p>
      <w:pPr>
        <w:pStyle w:val="BodyText"/>
      </w:pPr>
      <w:r>
        <w:t xml:space="preserve">**Scope 3 Compliance:** This analysis aims for at least 95% coverage for Scope 3 reporting, as per 2026 requirements, by including comprehensive upstream and downstream value chain emissions.</w:t>
      </w:r>
    </w:p>
    <w:bookmarkStart w:id="36" w:name="illustrative-emission-factors-used"/>
    <w:p>
      <w:pPr>
        <w:pStyle w:val="Heading3"/>
      </w:pPr>
      <w:r>
        <w:t xml:space="preserve">3.1. Illustrative Emission Factors Used</w:t>
      </w:r>
    </w:p>
    <w:p>
      <w:pPr>
        <w:pStyle w:val="FirstParagraph"/>
      </w:pPr>
      <w:r>
        <w:t xml:space="preserve">(Note: These are generic illustrative factors; precise factors would depend on specific material origins, energy mixes, and transport routes.)</w:t>
      </w:r>
    </w:p>
    <w:p>
      <w:pPr>
        <w:numPr>
          <w:ilvl w:val="0"/>
          <w:numId w:val="1007"/>
        </w:numPr>
        <w:pStyle w:val="Compact"/>
      </w:pPr>
      <w:r>
        <w:t xml:space="preserve">Electricity (China Grid Mix, 2023 average): 0.60 kg CO2e/kWh</w:t>
      </w:r>
    </w:p>
    <w:p>
      <w:pPr>
        <w:numPr>
          <w:ilvl w:val="0"/>
          <w:numId w:val="1007"/>
        </w:numPr>
        <w:pStyle w:val="Compact"/>
      </w:pPr>
      <w:r>
        <w:t xml:space="preserve">Electricity (European Grid Mix, average for component production): 0.35 kg CO2e/kWh</w:t>
      </w:r>
    </w:p>
    <w:p>
      <w:pPr>
        <w:numPr>
          <w:ilvl w:val="0"/>
          <w:numId w:val="1007"/>
        </w:numPr>
        <w:pStyle w:val="Compact"/>
      </w:pPr>
      <w:r>
        <w:t xml:space="preserve">Ocean Freight (Container Ship): 0.010 kg CO2e/tonne-km</w:t>
      </w:r>
    </w:p>
    <w:p>
      <w:pPr>
        <w:numPr>
          <w:ilvl w:val="0"/>
          <w:numId w:val="1007"/>
        </w:numPr>
        <w:pStyle w:val="Compact"/>
      </w:pPr>
      <w:r>
        <w:t xml:space="preserve">Road Freight (HGV &gt; 32t): 0.090 kg CO2e/tonne-km</w:t>
      </w:r>
    </w:p>
    <w:p>
      <w:pPr>
        <w:numPr>
          <w:ilvl w:val="0"/>
          <w:numId w:val="1007"/>
        </w:numPr>
        <w:pStyle w:val="Compact"/>
      </w:pPr>
      <w:r>
        <w:t xml:space="preserve">Parcel Post (Last-Mile): 0.150 kg CO2e/package (average, distance-dependent)</w:t>
      </w:r>
    </w:p>
    <w:p>
      <w:pPr>
        <w:numPr>
          <w:ilvl w:val="0"/>
          <w:numId w:val="1007"/>
        </w:numPr>
        <w:pStyle w:val="Compact"/>
      </w:pPr>
      <w:r>
        <w:t xml:space="preserve">Waste to Landfill (mixed): 0.40 kg CO2e/kg</w:t>
      </w:r>
    </w:p>
    <w:p>
      <w:pPr>
        <w:numPr>
          <w:ilvl w:val="0"/>
          <w:numId w:val="1007"/>
        </w:numPr>
        <w:pStyle w:val="Compact"/>
      </w:pPr>
      <w:r>
        <w:t xml:space="preserve">Recycling (avoided emissions credit for virgin material displacement): -1.0 to -3.0 kg CO2e/kg (material-dependent)</w:t>
      </w:r>
    </w:p>
    <w:bookmarkEnd w:id="36"/>
    <w:bookmarkStart w:id="42" w:name="Xdf0ab22405ad1561a37b38587224d3f6b7e5b7e"/>
    <w:p>
      <w:pPr>
        <w:pStyle w:val="Heading3"/>
      </w:pPr>
      <w:r>
        <w:t xml:space="preserve">3.2. Detailed Emissions Breakdown by Lifecycle Stage (Illustrative Calculations)</w:t>
      </w:r>
    </w:p>
    <w:p>
      <w:pPr>
        <w:pStyle w:val="FirstParagraph"/>
      </w:pPr>
      <w:r>
        <w:t xml:space="preserve">Based on the illustrative data and emission factors, the following calculations demonstrate the PCF.</w:t>
      </w:r>
    </w:p>
    <w:bookmarkStart w:id="37" w:name="Xff31e690bfe279af69cf88b9219fe5d56042afb"/>
    <w:p>
      <w:pPr>
        <w:pStyle w:val="Heading4"/>
      </w:pPr>
      <w:r>
        <w:t xml:space="preserve">3.2.1. Raw Material Acquisition &amp; Pre-processing (Scope 3 - Upstream)</w:t>
      </w:r>
    </w:p>
    <w:p>
      <w:pPr>
        <w:pStyle w:val="FirstParagraph"/>
      </w:pPr>
      <w:r>
        <w:t xml:space="preserve">This stage includes emissions from extracting, processing, and refining raw materials as per the BOM.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BOM Item</w:t>
            </w:r>
          </w:p>
        </w:tc>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0.875</w:t>
            </w:r>
          </w:p>
        </w:tc>
      </w:tr>
      <w:tr>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1.200</w:t>
            </w:r>
          </w:p>
        </w:tc>
      </w:tr>
      <w:tr>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1.200</w:t>
            </w:r>
          </w:p>
        </w:tc>
      </w:tr>
      <w:tr>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1.250</w:t>
            </w:r>
          </w:p>
        </w:tc>
      </w:tr>
      <w:tr>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0.100</w:t>
            </w:r>
          </w:p>
        </w:tc>
      </w:tr>
      <w:tr>
        <w:tc>
          <w:tcPr/>
          <w:p>
            <w:pPr>
              <w:pStyle w:val="Compact"/>
              <w:jc w:val="left"/>
            </w:pPr>
            <w:r>
              <w:t xml:space="preserve">Packaging (Recycled Cardboard)</w:t>
            </w:r>
          </w:p>
        </w:tc>
        <w:tc>
          <w:tcPr/>
          <w:p>
            <w:pPr>
              <w:pStyle w:val="Compact"/>
              <w:jc w:val="left"/>
            </w:pPr>
            <w:r>
              <w:t xml:space="preserve">Paper/Packaging</w:t>
            </w:r>
          </w:p>
        </w:tc>
        <w:tc>
          <w:tcPr/>
          <w:p>
            <w:pPr>
              <w:pStyle w:val="Compact"/>
              <w:jc w:val="left"/>
            </w:pPr>
            <w:r>
              <w:t xml:space="preserve">0.080</w:t>
            </w:r>
          </w:p>
        </w:tc>
      </w:tr>
      <w:tr>
        <w:tc>
          <w:tcPr/>
          <w:p>
            <w:pPr>
              <w:pStyle w:val="Compact"/>
              <w:jc w:val="left"/>
            </w:pPr>
            <w:r>
              <w:t xml:space="preserve">Total Material Emissions</w:t>
            </w:r>
          </w:p>
        </w:tc>
        <w:tc>
          <w:tcPr/>
          <w:p>
            <w:pPr>
              <w:pStyle w:val="Compact"/>
            </w:pPr>
          </w:p>
        </w:tc>
        <w:tc>
          <w:tcPr/>
          <w:p>
            <w:pPr>
              <w:pStyle w:val="Compact"/>
              <w:jc w:val="left"/>
            </w:pPr>
            <w:r>
              <w:t xml:space="preserve">4.705</w:t>
            </w:r>
          </w:p>
        </w:tc>
      </w:tr>
    </w:tbl>
    <w:bookmarkEnd w:id="37"/>
    <w:bookmarkStart w:id="38" w:name="Xc2d5c026b4b83761846a491e5e48a547b8835f8"/>
    <w:p>
      <w:pPr>
        <w:pStyle w:val="Heading4"/>
      </w:pPr>
      <w:r>
        <w:t xml:space="preserve">3.2.2. Manufacturing &amp; Assembly (Scope 1 &amp; 2, Scope 3 - Upstream for capital goods)</w:t>
      </w:r>
    </w:p>
    <w:p>
      <w:pPr>
        <w:pStyle w:val="FirstParagraph"/>
      </w:pPr>
      <w:r>
        <w:t xml:space="preserve">This includes direct emissions (Scope 1, e.g., on-site fuel combustion) and indirect emissions from purchased electricity (Scope 2). For simplicity and due to placeholder inputs, direct Scope 1 emissions are assumed negligible here unless specific fuel consumption data is provided. Energy intensity is 1.5 kWh/unit, with 70% renewable usage.</w:t>
      </w:r>
    </w:p>
    <w:p>
      <w:pPr>
        <w:numPr>
          <w:ilvl w:val="0"/>
          <w:numId w:val="1008"/>
        </w:numPr>
        <w:pStyle w:val="Compact"/>
      </w:pPr>
      <w:r>
        <w:t xml:space="preserve">Total Electricity Consumption = 1.5 kWh/unit</w:t>
      </w:r>
    </w:p>
    <w:p>
      <w:pPr>
        <w:numPr>
          <w:ilvl w:val="0"/>
          <w:numId w:val="1008"/>
        </w:numPr>
        <w:pStyle w:val="Compact"/>
      </w:pPr>
      <w:r>
        <w:t xml:space="preserve">Renewable Electricity = 1.5 kWh * 0.70 = 1.05 kWh (assumed zero emissions for certified renewables)</w:t>
      </w:r>
    </w:p>
    <w:p>
      <w:pPr>
        <w:numPr>
          <w:ilvl w:val="0"/>
          <w:numId w:val="1008"/>
        </w:numPr>
        <w:pStyle w:val="Compact"/>
      </w:pPr>
      <w:r>
        <w:t xml:space="preserve">Grid Electricity (non-renewable) = 1.5 kWh * 0.30 = 0.45 kWh</w:t>
      </w:r>
    </w:p>
    <w:p>
      <w:pPr>
        <w:numPr>
          <w:ilvl w:val="0"/>
          <w:numId w:val="1008"/>
        </w:numPr>
        <w:pStyle w:val="Compact"/>
      </w:pPr>
      <w:r>
        <w:t xml:space="preserve">Emissions from Grid Electricity = 0.45 kWh * 0.60 kg CO2e/kWh (China mix) = 0.270 kg CO2e</w:t>
      </w:r>
    </w:p>
    <w:p>
      <w:pPr>
        <w:numPr>
          <w:ilvl w:val="0"/>
          <w:numId w:val="1008"/>
        </w:numPr>
        <w:pStyle w:val="Compact"/>
      </w:pPr>
      <w:r>
        <w:t xml:space="preserve">**Manufacturing Emissions (Scope 2):** 0.270 kg CO2e</w:t>
      </w:r>
    </w:p>
    <w:bookmarkEnd w:id="38"/>
    <w:bookmarkStart w:id="39" w:name="X981923b8cb60f0edee598a5efe02199461582eb"/>
    <w:p>
      <w:pPr>
        <w:pStyle w:val="Heading4"/>
      </w:pPr>
      <w:r>
        <w:t xml:space="preserve">3.2.3. Transportation (Scope 3 - Upstream &amp; Downstream)</w:t>
      </w:r>
    </w:p>
    <w:p>
      <w:pPr>
        <w:pStyle w:val="FirstParagraph"/>
      </w:pPr>
      <w:r>
        <w:t xml:space="preserve">This covers logistics for component delivery to the factory and distribution of the finished product.</w:t>
      </w:r>
    </w:p>
    <w:p>
      <w:pPr>
        <w:numPr>
          <w:ilvl w:val="0"/>
          <w:numId w:val="1009"/>
        </w:numPr>
        <w:pStyle w:val="Compact"/>
      </w:pPr>
      <w:r>
        <w:rPr>
          <w:bCs/>
          <w:b/>
        </w:rPr>
        <w:t xml:space="preserve">Component Inbound Logistics (Europe to China):</w:t>
      </w:r>
    </w:p>
    <w:p>
      <w:pPr>
        <w:numPr>
          <w:ilvl w:val="1"/>
          <w:numId w:val="1010"/>
        </w:numPr>
        <w:pStyle w:val="Compact"/>
      </w:pPr>
      <w:r>
        <w:t xml:space="preserve">Assumed average material weight: 0.25kg (Plastic Casing) + 0.15kg (Aluminum Frame) + ... + 0.10kg (Packaging) = ~0.7 kg/unit (total BOM weight)</w:t>
      </w:r>
    </w:p>
    <w:p>
      <w:pPr>
        <w:numPr>
          <w:ilvl w:val="1"/>
          <w:numId w:val="1010"/>
        </w:numPr>
        <w:pStyle w:val="Compact"/>
      </w:pPr>
      <w:r>
        <w:t xml:space="preserve">Distance: 8,000 km (Ocean Freight) + 500 km (Road Freight) for illustrative `fdxjpwxzhf` interpretation.</w:t>
      </w:r>
    </w:p>
    <w:p>
      <w:pPr>
        <w:numPr>
          <w:ilvl w:val="1"/>
          <w:numId w:val="1010"/>
        </w:numPr>
        <w:pStyle w:val="Compact"/>
      </w:pPr>
      <w:r>
        <w:t xml:space="preserve">Illustrative Ocean Freight (0.7 kg * 8000 km * 0.010 kg CO2e/tonne-km) = 0.7 kg * 8 tkm * 0.010 kg CO2e/tkm = 0.056 kg CO2e</w:t>
      </w:r>
    </w:p>
    <w:p>
      <w:pPr>
        <w:numPr>
          <w:ilvl w:val="1"/>
          <w:numId w:val="1010"/>
        </w:numPr>
        <w:pStyle w:val="Compact"/>
      </w:pPr>
      <w:r>
        <w:t xml:space="preserve">Illustrative Road Freight (0.7 kg * 500 km * 0.090 kg CO2e/tonne-km) = 0.7 kg * 0.5 tkm * 0.090 kg CO2e/tkm = 0.0315 kg CO2e</w:t>
      </w:r>
    </w:p>
    <w:p>
      <w:pPr>
        <w:numPr>
          <w:ilvl w:val="1"/>
          <w:numId w:val="1010"/>
        </w:numPr>
        <w:pStyle w:val="Compact"/>
      </w:pPr>
      <w:r>
        <w:t xml:space="preserve">Total Inbound Transport: 0.0875 kg CO2e</w:t>
      </w:r>
    </w:p>
    <w:p>
      <w:pPr>
        <w:numPr>
          <w:ilvl w:val="0"/>
          <w:numId w:val="1009"/>
        </w:numPr>
        <w:pStyle w:val="Compact"/>
      </w:pPr>
      <w:r>
        <w:rPr>
          <w:bCs/>
          <w:b/>
        </w:rPr>
        <w:t xml:space="preserve">Final Product Outbound Logistics (China to market, e.g., Europe/North America)</w:t>
      </w:r>
    </w:p>
    <w:p>
      <w:pPr>
        <w:numPr>
          <w:ilvl w:val="1"/>
          <w:numId w:val="1011"/>
        </w:numPr>
        <w:pStyle w:val="Compact"/>
      </w:pPr>
      <w:r>
        <w:t xml:space="preserve">Assumed product weight with packaging: ~1.0 kg/unit</w:t>
      </w:r>
    </w:p>
    <w:p>
      <w:pPr>
        <w:numPr>
          <w:ilvl w:val="1"/>
          <w:numId w:val="1011"/>
        </w:numPr>
        <w:pStyle w:val="Compact"/>
      </w:pPr>
      <w:r>
        <w:t xml:space="preserve">Illustrative distance: 10,000 km (Ocean Freight) + 200 km (Road Freight)</w:t>
      </w:r>
    </w:p>
    <w:p>
      <w:pPr>
        <w:numPr>
          <w:ilvl w:val="1"/>
          <w:numId w:val="1011"/>
        </w:numPr>
        <w:pStyle w:val="Compact"/>
      </w:pPr>
      <w:r>
        <w:t xml:space="preserve">Ocean Freight (1.0 kg * 10,000 km * 0.010 kg CO2e/tonne-km) = 1.0 kg * 10 tkm * 0.010 kg CO2e/tkm = 0.100 kg CO2e</w:t>
      </w:r>
    </w:p>
    <w:p>
      <w:pPr>
        <w:numPr>
          <w:ilvl w:val="1"/>
          <w:numId w:val="1011"/>
        </w:numPr>
        <w:pStyle w:val="Compact"/>
      </w:pPr>
      <w:r>
        <w:t xml:space="preserve">Road Freight (1.0 kg * 200 km * 0.090 kg CO2e/tonne-km) = 1.0 kg * 0.2 tkm * 0.090 kg CO2e/tkm = 0.018 kg CO2e</w:t>
      </w:r>
    </w:p>
    <w:p>
      <w:pPr>
        <w:numPr>
          <w:ilvl w:val="1"/>
          <w:numId w:val="1011"/>
        </w:numPr>
        <w:pStyle w:val="Compact"/>
      </w:pPr>
      <w:r>
        <w:t xml:space="preserve">Last-Mile Delivery (Parcel Post): 0.150 kg CO2e/unit</w:t>
      </w:r>
    </w:p>
    <w:p>
      <w:pPr>
        <w:numPr>
          <w:ilvl w:val="1"/>
          <w:numId w:val="1011"/>
        </w:numPr>
        <w:pStyle w:val="Compact"/>
      </w:pPr>
      <w:r>
        <w:t xml:space="preserve">Total Outbound Transport: 0.100 + 0.018 + 0.150 = 0.268 kg CO2e</w:t>
      </w:r>
    </w:p>
    <w:p>
      <w:pPr>
        <w:numPr>
          <w:ilvl w:val="0"/>
          <w:numId w:val="1009"/>
        </w:numPr>
        <w:pStyle w:val="Compact"/>
      </w:pPr>
      <w:r>
        <w:t xml:space="preserve">**Total Transportation Emissions (Scope 3):** 0.0875 (Inbound) + 0.268 (Outbound) = 0.3555 kg CO2e</w:t>
      </w:r>
    </w:p>
    <w:bookmarkEnd w:id="39"/>
    <w:bookmarkStart w:id="40" w:name="use-phase-scope-3---downstream"/>
    <w:p>
      <w:pPr>
        <w:pStyle w:val="Heading4"/>
      </w:pPr>
      <w:r>
        <w:t xml:space="preserve">3.2.4. Use Phase (Scope 3 - Downstream)</w:t>
      </w:r>
    </w:p>
    <w:p>
      <w:pPr>
        <w:pStyle w:val="FirstParagraph"/>
      </w:pPr>
      <w:r>
        <w:t xml:space="preserve">Based on a lifespan of 5 years and energy consumption of 10 kWh/year.</w:t>
      </w:r>
    </w:p>
    <w:p>
      <w:pPr>
        <w:numPr>
          <w:ilvl w:val="0"/>
          <w:numId w:val="1012"/>
        </w:numPr>
        <w:pStyle w:val="Compact"/>
      </w:pPr>
      <w:r>
        <w:t xml:space="preserve">Total Energy in Use = 10 kWh/year * 5 years = 50 kWh</w:t>
      </w:r>
    </w:p>
    <w:p>
      <w:pPr>
        <w:numPr>
          <w:ilvl w:val="0"/>
          <w:numId w:val="1012"/>
        </w:numPr>
        <w:pStyle w:val="Compact"/>
      </w:pPr>
      <w:r>
        <w:t xml:space="preserve">Emissions from Energy in Use = 50 kWh * 0.35 kg CO2e/kWh (Illustrative European grid mix for use phase) = 17.500 kg CO2e</w:t>
      </w:r>
    </w:p>
    <w:p>
      <w:pPr>
        <w:pStyle w:val="FirstParagraph"/>
      </w:pPr>
      <w:r>
        <w:rPr>
          <w:iCs/>
          <w:i/>
        </w:rPr>
        <w:t xml:space="preserve">Note: The geographic scope for the Use Phase depends on the final market. An illustrative European grid mix is used here.</w:t>
      </w:r>
    </w:p>
    <w:bookmarkEnd w:id="40"/>
    <w:bookmarkStart w:id="41" w:name="end-of-life-eol-scope-3---downstream"/>
    <w:p>
      <w:pPr>
        <w:pStyle w:val="Heading4"/>
      </w:pPr>
      <w:r>
        <w:t xml:space="preserve">3.2.5. End-of-Life (EoL) (Scope 3 - Downstream)</w:t>
      </w:r>
    </w:p>
    <w:p>
      <w:pPr>
        <w:pStyle w:val="FirstParagraph"/>
      </w:pPr>
      <w:r>
        <w:t xml:space="preserve">Considering 80% recyclability and company-operated circular programs. Assume 20% goes to landfill, 80% is recycled (with an avoided emissions credit).</w:t>
      </w:r>
    </w:p>
    <w:p>
      <w:pPr>
        <w:numPr>
          <w:ilvl w:val="0"/>
          <w:numId w:val="1013"/>
        </w:numPr>
        <w:pStyle w:val="Compact"/>
      </w:pPr>
      <w:r>
        <w:t xml:space="preserve">Product weight at EoL (excluding packaging which is handled earlier): ~0.6 kg (total BOM materials - packaging)</w:t>
      </w:r>
    </w:p>
    <w:p>
      <w:pPr>
        <w:numPr>
          <w:ilvl w:val="0"/>
          <w:numId w:val="1013"/>
        </w:numPr>
        <w:pStyle w:val="Compact"/>
      </w:pPr>
      <w:r>
        <w:t xml:space="preserve">Landfilled waste = 0.6 kg * 0.20 = 0.12 kg</w:t>
      </w:r>
    </w:p>
    <w:p>
      <w:pPr>
        <w:numPr>
          <w:ilvl w:val="0"/>
          <w:numId w:val="1013"/>
        </w:numPr>
        <w:pStyle w:val="Compact"/>
      </w:pPr>
      <w:r>
        <w:t xml:space="preserve">Landfill Emissions = 0.12 kg * 0.40 kg CO2e/kg = 0.048 kg CO2e</w:t>
      </w:r>
    </w:p>
    <w:p>
      <w:pPr>
        <w:numPr>
          <w:ilvl w:val="0"/>
          <w:numId w:val="1013"/>
        </w:numPr>
        <w:pStyle w:val="Compact"/>
      </w:pPr>
      <w:r>
        <w:t xml:space="preserve">Recycled materials = 0.6 kg * 0.80 = 0.48 kg</w:t>
      </w:r>
    </w:p>
    <w:p>
      <w:pPr>
        <w:numPr>
          <w:ilvl w:val="0"/>
          <w:numId w:val="1013"/>
        </w:numPr>
        <w:pStyle w:val="Compact"/>
      </w:pPr>
      <w:r>
        <w:t xml:space="preserve">Avoided Emissions from Recycling (Illustrative average): -0.48 kg * 2.0 kg CO2e/kg = -0.960 kg CO2e</w:t>
      </w:r>
    </w:p>
    <w:p>
      <w:pPr>
        <w:numPr>
          <w:ilvl w:val="0"/>
          <w:numId w:val="1013"/>
        </w:numPr>
        <w:pStyle w:val="Compact"/>
      </w:pPr>
      <w:r>
        <w:t xml:space="preserve">**Total EoL Emissions (Net):** 0.048 - 0.960 = -0.912 kg CO2e (a net carbon removal/avoidance)</w:t>
      </w:r>
    </w:p>
    <w:bookmarkEnd w:id="41"/>
    <w:bookmarkEnd w:id="42"/>
    <w:bookmarkStart w:id="43" w:name="X1440843a253bc0a59c046e9d06b1f98b5443b58"/>
    <w:p>
      <w:pPr>
        <w:pStyle w:val="Heading3"/>
      </w:pPr>
      <w:r>
        <w:t xml:space="preserve">3.3. Summary of Illustrative Product Carbon Footprint (PCF)</w:t>
      </w:r>
    </w:p>
    <w:p>
      <w:pPr>
        <w:pStyle w:val="FirstParagraph"/>
      </w:pPr>
      <w:r>
        <w:t xml:space="preserve">The table below summarizes the illustrative PCF for lnmkjlyphm across its lifecycle stages.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 / unit)</w:t>
            </w:r>
          </w:p>
        </w:tc>
        <w:tc>
          <w:tcPr/>
          <w:p>
            <w:pPr>
              <w:pStyle w:val="Compact"/>
              <w:jc w:val="left"/>
            </w:pPr>
            <w:r>
              <w:t xml:space="preserve">Comment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4.705</w:t>
            </w:r>
          </w:p>
        </w:tc>
        <w:tc>
          <w:tcPr/>
          <w:p>
            <w:pPr>
              <w:pStyle w:val="Compact"/>
              <w:jc w:val="left"/>
            </w:pPr>
            <w:r>
              <w:t xml:space="preserve">Based on BOM and material emission factors</w:t>
            </w:r>
          </w:p>
        </w:tc>
      </w:tr>
      <w:tr>
        <w:tc>
          <w:tcPr/>
          <w:p>
            <w:pPr>
              <w:pStyle w:val="Compact"/>
              <w:jc w:val="left"/>
            </w:pPr>
            <w:r>
              <w:t xml:space="preserve">Manufacturing &amp; Assembly</w:t>
            </w:r>
          </w:p>
        </w:tc>
        <w:tc>
          <w:tcPr/>
          <w:p>
            <w:pPr>
              <w:pStyle w:val="Compact"/>
              <w:jc w:val="left"/>
            </w:pPr>
            <w:r>
              <w:t xml:space="preserve">Scope 2</w:t>
            </w:r>
          </w:p>
        </w:tc>
        <w:tc>
          <w:tcPr/>
          <w:p>
            <w:pPr>
              <w:pStyle w:val="Compact"/>
              <w:jc w:val="left"/>
            </w:pPr>
            <w:r>
              <w:t xml:space="preserve">0.270</w:t>
            </w:r>
          </w:p>
        </w:tc>
        <w:tc>
          <w:tcPr/>
          <w:p>
            <w:pPr>
              <w:pStyle w:val="Compact"/>
              <w:jc w:val="left"/>
            </w:pPr>
            <w:r>
              <w:t xml:space="preserve">Based on energy intensity and grid mix (China), adjusted for renewable usage</w:t>
            </w:r>
          </w:p>
        </w:tc>
      </w:tr>
      <w:tr>
        <w:tc>
          <w:tcPr/>
          <w:p>
            <w:pPr>
              <w:pStyle w:val="Compact"/>
              <w:jc w:val="left"/>
            </w:pPr>
            <w:r>
              <w:t xml:space="preserve">Transportation (Inbound &amp; Outbound)</w:t>
            </w:r>
          </w:p>
        </w:tc>
        <w:tc>
          <w:tcPr/>
          <w:p>
            <w:pPr>
              <w:pStyle w:val="Compact"/>
              <w:jc w:val="left"/>
            </w:pPr>
            <w:r>
              <w:t xml:space="preserve">Scope 3 (Upstream &amp; Downstream)</w:t>
            </w:r>
          </w:p>
        </w:tc>
        <w:tc>
          <w:tcPr/>
          <w:p>
            <w:pPr>
              <w:pStyle w:val="Compact"/>
              <w:jc w:val="left"/>
            </w:pPr>
            <w:r>
              <w:t xml:space="preserve">0.3555</w:t>
            </w:r>
          </w:p>
        </w:tc>
        <w:tc>
          <w:tcPr/>
          <w:p>
            <w:pPr>
              <w:pStyle w:val="Compact"/>
              <w:jc w:val="left"/>
            </w:pPr>
            <w:r>
              <w:t xml:space="preserve">Ocean, Road, and Last-Mile Freight</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17.500</w:t>
            </w:r>
          </w:p>
        </w:tc>
        <w:tc>
          <w:tcPr/>
          <w:p>
            <w:pPr>
              <w:pStyle w:val="Compact"/>
              <w:jc w:val="left"/>
            </w:pPr>
            <w:r>
              <w:t xml:space="preserve">Energy consumption over product lifespan</w:t>
            </w:r>
          </w:p>
        </w:tc>
      </w:tr>
      <w:tr>
        <w:tc>
          <w:tcPr/>
          <w:p>
            <w:pPr>
              <w:pStyle w:val="Compact"/>
              <w:jc w:val="left"/>
            </w:pPr>
            <w:r>
              <w:t xml:space="preserve">End-of-Life (EoL)</w:t>
            </w:r>
          </w:p>
        </w:tc>
        <w:tc>
          <w:tcPr/>
          <w:p>
            <w:pPr>
              <w:pStyle w:val="Compact"/>
              <w:jc w:val="left"/>
            </w:pPr>
            <w:r>
              <w:t xml:space="preserve">Scope 3 (Downstream)</w:t>
            </w:r>
          </w:p>
        </w:tc>
        <w:tc>
          <w:tcPr/>
          <w:p>
            <w:pPr>
              <w:pStyle w:val="Compact"/>
              <w:jc w:val="left"/>
            </w:pPr>
            <w:r>
              <w:t xml:space="preserve">-0.912</w:t>
            </w:r>
          </w:p>
        </w:tc>
        <w:tc>
          <w:tcPr/>
          <w:p>
            <w:pPr>
              <w:pStyle w:val="Compact"/>
              <w:jc w:val="left"/>
            </w:pPr>
            <w:r>
              <w:t xml:space="preserve">Net emissions considering recycling credits</w:t>
            </w:r>
          </w:p>
        </w:tc>
      </w:tr>
      <w:tr>
        <w:tc>
          <w:tcPr/>
          <w:p>
            <w:pPr>
              <w:pStyle w:val="Compact"/>
              <w:jc w:val="left"/>
            </w:pPr>
            <w:r>
              <w:t xml:space="preserve">Total Illustrative Cradle-to-Grave PCF</w:t>
            </w:r>
          </w:p>
        </w:tc>
        <w:tc>
          <w:tcPr/>
          <w:p>
            <w:pPr>
              <w:pStyle w:val="Compact"/>
            </w:pPr>
          </w:p>
        </w:tc>
        <w:tc>
          <w:tcPr/>
          <w:p>
            <w:pPr>
              <w:pStyle w:val="Compact"/>
              <w:jc w:val="left"/>
            </w:pPr>
            <w:r>
              <w:t xml:space="preserve">21.9185</w:t>
            </w:r>
          </w:p>
        </w:tc>
        <w:tc>
          <w:tcPr/>
          <w:p>
            <w:pPr>
              <w:pStyle w:val="Compact"/>
            </w:pPr>
          </w:p>
        </w:tc>
      </w:tr>
    </w:tbl>
    <w:p>
      <w:pPr>
        <w:pStyle w:val="BodyText"/>
      </w:pPr>
      <w:r>
        <w:t xml:space="preserve">**Declared "Factory_Gate" System Boundary PCF:**</w:t>
      </w:r>
    </w:p>
    <w:p>
      <w:pPr>
        <w:pStyle w:val="BodyText"/>
      </w:pPr>
      <w:r>
        <w:t xml:space="preserve">If strictly adhering to the "factory_gate" system boundary as initially declared, the PCF would include Raw Material Acquisition &amp; Pre-processing, Manufacturing &amp; Assembly, and Inbound Transportation.</w:t>
      </w:r>
    </w:p>
    <w:p>
      <w:pPr>
        <w:numPr>
          <w:ilvl w:val="0"/>
          <w:numId w:val="1014"/>
        </w:numPr>
        <w:pStyle w:val="Compact"/>
      </w:pPr>
      <w:r>
        <w:t xml:space="preserve">Factory_Gate PCF = 4.705 (Materials) + 0.270 (Manufacturing) + 0.0875 (Inbound Transport) =</w:t>
      </w:r>
      <w:r>
        <w:t xml:space="preserve"> </w:t>
      </w:r>
      <w:r>
        <w:rPr>
          <w:bCs/>
          <w:b/>
        </w:rPr>
        <w:t xml:space="preserve">5.0625 kg CO2e / unit</w:t>
      </w:r>
    </w:p>
    <w:p>
      <w:r>
        <w:pict>
          <v:rect style="width:0;height:1.5pt" o:hralign="center" o:hrstd="t" o:hr="t"/>
        </w:pict>
      </w:r>
    </w:p>
    <w:bookmarkEnd w:id="43"/>
    <w:bookmarkEnd w:id="44"/>
    <w:bookmarkStart w:id="48" w:name="review-report"/>
    <w:p>
      <w:pPr>
        <w:pStyle w:val="Heading2"/>
      </w:pPr>
      <w:r>
        <w:t xml:space="preserve">4. Review &amp; Report</w:t>
      </w:r>
    </w:p>
    <w:bookmarkStart w:id="45" w:name="hotspot-analysis"/>
    <w:p>
      <w:pPr>
        <w:pStyle w:val="Heading3"/>
      </w:pPr>
      <w:r>
        <w:t xml:space="preserve">4.1. Hotspot Analysis</w:t>
      </w:r>
    </w:p>
    <w:p>
      <w:pPr>
        <w:pStyle w:val="FirstParagraph"/>
      </w:pPr>
      <w:r>
        <w:t xml:space="preserve">Based on the illustrative calculations, the primary emission hotspots for "lnmkjlyphm" are:</w:t>
      </w:r>
    </w:p>
    <w:p>
      <w:pPr>
        <w:numPr>
          <w:ilvl w:val="0"/>
          <w:numId w:val="1015"/>
        </w:numPr>
        <w:pStyle w:val="Compact"/>
      </w:pPr>
      <w:r>
        <w:rPr>
          <w:bCs/>
          <w:b/>
        </w:rPr>
        <w:t xml:space="preserve">Use Phase (17.500 kg CO2e):</w:t>
      </w:r>
      <w:r>
        <w:t xml:space="preserve"> </w:t>
      </w:r>
      <w:r>
        <w:t xml:space="preserve">This is by far the largest contributor, highlighting the importance of energy efficiency during product operation and the impact of the energy mix where the product is used.</w:t>
      </w:r>
    </w:p>
    <w:p>
      <w:pPr>
        <w:numPr>
          <w:ilvl w:val="0"/>
          <w:numId w:val="1015"/>
        </w:numPr>
        <w:pStyle w:val="Compact"/>
      </w:pPr>
      <w:r>
        <w:rPr>
          <w:bCs/>
          <w:b/>
        </w:rPr>
        <w:t xml:space="preserve">Raw Material Acquisition &amp; Pre-processing (4.705 kg CO2e):</w:t>
      </w:r>
      <w:r>
        <w:t xml:space="preserve"> </w:t>
      </w:r>
      <w:r>
        <w:t xml:space="preserve">The materials used, particularly Aluminum, Electronics (PCB, Battery), and ABS Plastic, represent significant upstream impacts.</w:t>
      </w:r>
    </w:p>
    <w:p>
      <w:pPr>
        <w:numPr>
          <w:ilvl w:val="0"/>
          <w:numId w:val="1015"/>
        </w:numPr>
        <w:pStyle w:val="Compact"/>
      </w:pPr>
      <w:r>
        <w:rPr>
          <w:bCs/>
          <w:b/>
        </w:rPr>
        <w:t xml:space="preserve">Manufacturing (0.270 kg CO2e):</w:t>
      </w:r>
      <w:r>
        <w:t xml:space="preserve"> </w:t>
      </w:r>
      <w:r>
        <w:t xml:space="preserve">While less than use phase and materials, it is still a notable direct operational impact. The high renewable energy usage (70%) significantly mitigates this impact.</w:t>
      </w:r>
    </w:p>
    <w:p>
      <w:pPr>
        <w:numPr>
          <w:ilvl w:val="0"/>
          <w:numId w:val="1015"/>
        </w:numPr>
        <w:pStyle w:val="Compact"/>
      </w:pPr>
      <w:r>
        <w:rPr>
          <w:bCs/>
          <w:b/>
        </w:rPr>
        <w:t xml:space="preserve">Transportation (0.3555 kg CO2e):</w:t>
      </w:r>
      <w:r>
        <w:t xml:space="preserve"> </w:t>
      </w:r>
      <w:r>
        <w:t xml:space="preserve">Both inbound and outbound logistics contribute, with last-mile delivery being a significant portion of outbound emissions.</w:t>
      </w:r>
    </w:p>
    <w:p>
      <w:pPr>
        <w:numPr>
          <w:ilvl w:val="0"/>
          <w:numId w:val="1015"/>
        </w:numPr>
        <w:pStyle w:val="Compact"/>
      </w:pPr>
      <w:r>
        <w:rPr>
          <w:bCs/>
          <w:b/>
        </w:rPr>
        <w:t xml:space="preserve">End-of-Life (-0.912 kg CO2e):</w:t>
      </w:r>
      <w:r>
        <w:t xml:space="preserve"> </w:t>
      </w:r>
      <w:r>
        <w:t xml:space="preserve">The robust recycling and circular economy programs lead to a net avoided emission, demonstrating the positive impact of circular strategies.</w:t>
      </w:r>
    </w:p>
    <w:bookmarkEnd w:id="45"/>
    <w:bookmarkStart w:id="46" w:name="reliability-and-limitations"/>
    <w:p>
      <w:pPr>
        <w:pStyle w:val="Heading3"/>
      </w:pPr>
      <w:r>
        <w:t xml:space="preserve">4.2. Reliability and Limitations</w:t>
      </w:r>
    </w:p>
    <w:p>
      <w:pPr>
        <w:pStyle w:val="FirstParagraph"/>
      </w:pPr>
      <w:r>
        <w:t xml:space="preserve">The reliability of this report is directly tied to the accuracy and completeness of the input data. Key limitations include:</w:t>
      </w:r>
    </w:p>
    <w:p>
      <w:pPr>
        <w:numPr>
          <w:ilvl w:val="0"/>
          <w:numId w:val="1016"/>
        </w:numPr>
        <w:pStyle w:val="Compact"/>
      </w:pPr>
      <w:r>
        <w:rPr>
          <w:bCs/>
          <w:b/>
        </w:rPr>
        <w:t xml:space="preserve">Placeholder Data:</w:t>
      </w:r>
      <w:r>
        <w:t xml:space="preserve"> </w:t>
      </w:r>
      <w:r>
        <w:t xml:space="preserve">A significant portion of the input parameters (e.g., BOM details beyond structure, exact transport modes/distances, renewable energy penetration, energy intensity, lifespan, use phase energy, recyclability, circular programs) were provided as placeholders. Illustrative assumptions were made to enable the calculation demonstration. For a precise PCF, actual, verified data for each parameter is mandatory.</w:t>
      </w:r>
    </w:p>
    <w:p>
      <w:pPr>
        <w:numPr>
          <w:ilvl w:val="0"/>
          <w:numId w:val="1016"/>
        </w:numPr>
        <w:pStyle w:val="Compact"/>
      </w:pPr>
      <w:r>
        <w:rPr>
          <w:bCs/>
          <w:b/>
        </w:rPr>
        <w:t xml:space="preserve">Generic Emission Factors:</w:t>
      </w:r>
      <w:r>
        <w:t xml:space="preserve"> </w:t>
      </w:r>
      <w:r>
        <w:t xml:space="preserve">Industry-average emission factors were used for illustrative calculations where specific factors were not provided. Actual factors can vary significantly based on supplier-specific data, technological efficiency, and regional energy mixes.</w:t>
      </w:r>
    </w:p>
    <w:p>
      <w:pPr>
        <w:numPr>
          <w:ilvl w:val="0"/>
          <w:numId w:val="1016"/>
        </w:numPr>
        <w:pStyle w:val="Compact"/>
      </w:pPr>
      <w:r>
        <w:rPr>
          <w:bCs/>
          <w:b/>
        </w:rPr>
        <w:t xml:space="preserve">System Boundary Interpretation:</w:t>
      </w:r>
      <w:r>
        <w:t xml:space="preserve"> </w:t>
      </w:r>
      <w:r>
        <w:t xml:space="preserve">While the primary declared boundary is "factory_gate", a full cradle-to-grave analysis was performed to provide a comprehensive view. The reported "factory_gate" PCF should be understood within this context.</w:t>
      </w:r>
    </w:p>
    <w:p>
      <w:pPr>
        <w:numPr>
          <w:ilvl w:val="0"/>
          <w:numId w:val="1016"/>
        </w:numPr>
        <w:pStyle w:val="Compact"/>
      </w:pPr>
      <w:r>
        <w:rPr>
          <w:bCs/>
          <w:b/>
        </w:rPr>
        <w:t xml:space="preserve">Dynamic Supply Chain:</w:t>
      </w:r>
      <w:r>
        <w:t xml:space="preserve"> </w:t>
      </w:r>
      <w:r>
        <w:t xml:space="preserve">The supply chain is dynamic. Changes in material sourcing, manufacturing locations, energy mixes, and logistics can alter the PCF.</w:t>
      </w:r>
    </w:p>
    <w:p>
      <w:pPr>
        <w:numPr>
          <w:ilvl w:val="0"/>
          <w:numId w:val="1016"/>
        </w:numPr>
        <w:pStyle w:val="Compact"/>
      </w:pPr>
      <w:r>
        <w:rPr>
          <w:bCs/>
          <w:b/>
        </w:rPr>
        <w:t xml:space="preserve">LSR Standard Application:</w:t>
      </w:r>
      <w:r>
        <w:t xml:space="preserve"> </w:t>
      </w:r>
      <w:r>
        <w:t xml:space="preserve">For this product, direct land use change impacts are assumed minimal. Broader land sector impacts and removals (e.g., from biochar, direct air capture) would require specific project data.</w:t>
      </w:r>
    </w:p>
    <w:p>
      <w:pPr>
        <w:numPr>
          <w:ilvl w:val="0"/>
          <w:numId w:val="1016"/>
        </w:numPr>
        <w:pStyle w:val="Compact"/>
      </w:pPr>
      <w:r>
        <w:rPr>
          <w:bCs/>
          <w:b/>
        </w:rPr>
        <w:t xml:space="preserve">Scope 3 Coverage:</w:t>
      </w:r>
      <w:r>
        <w:t xml:space="preserve"> </w:t>
      </w:r>
      <w:r>
        <w:t xml:space="preserve">While targeting &gt;95% Scope 3 coverage, the actual coverage relies on the availability and accuracy of data across all relevant upstream and downstream activities.</w:t>
      </w:r>
    </w:p>
    <w:bookmarkEnd w:id="46"/>
    <w:bookmarkStart w:id="47" w:name="recommendations-for-emission-reduction"/>
    <w:p>
      <w:pPr>
        <w:pStyle w:val="Heading3"/>
      </w:pPr>
      <w:r>
        <w:t xml:space="preserve">4.3. Recommendations for Emission Reduction</w:t>
      </w:r>
    </w:p>
    <w:p>
      <w:pPr>
        <w:pStyle w:val="FirstParagraph"/>
      </w:pPr>
      <w:r>
        <w:t xml:space="preserve">To reduce the carbon footprint of lnmkjlyphm, kwigwvefwy should consider:</w:t>
      </w:r>
    </w:p>
    <w:p>
      <w:pPr>
        <w:numPr>
          <w:ilvl w:val="0"/>
          <w:numId w:val="1017"/>
        </w:numPr>
        <w:pStyle w:val="Compact"/>
      </w:pPr>
      <w:r>
        <w:rPr>
          <w:bCs/>
          <w:b/>
        </w:rPr>
        <w:t xml:space="preserve">Use Phase Optimization:</w:t>
      </w:r>
      <w:r>
        <w:t xml:space="preserve"> </w:t>
      </w:r>
      <w:r>
        <w:t xml:space="preserve">Focus on improving product energy efficiency, promoting user behavior that reduces energy consumption, and exploring options for powering the product with renewable energy in target markets.</w:t>
      </w:r>
    </w:p>
    <w:p>
      <w:pPr>
        <w:numPr>
          <w:ilvl w:val="0"/>
          <w:numId w:val="1017"/>
        </w:numPr>
        <w:pStyle w:val="Compact"/>
      </w:pPr>
      <w:r>
        <w:rPr>
          <w:bCs/>
          <w:b/>
        </w:rPr>
        <w:t xml:space="preserve">Material Optimization:</w:t>
      </w:r>
      <w:r>
        <w:t xml:space="preserve"> </w:t>
      </w:r>
      <w:r>
        <w:t xml:space="preserve">Investigate alternative lower-carbon materials for high-impact components (e.g., aluminum, battery), explore recycled content, and optimize material usage to reduce overall quantity.</w:t>
      </w:r>
    </w:p>
    <w:p>
      <w:pPr>
        <w:numPr>
          <w:ilvl w:val="0"/>
          <w:numId w:val="1017"/>
        </w:numPr>
        <w:pStyle w:val="Compact"/>
      </w:pPr>
      <w:r>
        <w:rPr>
          <w:bCs/>
          <w:b/>
        </w:rPr>
        <w:t xml:space="preserve">Manufacturing Efficiency:</w:t>
      </w:r>
      <w:r>
        <w:t xml:space="preserve"> </w:t>
      </w:r>
      <w:r>
        <w:t xml:space="preserve">Continue to increase renewable energy penetration at manufacturing facilities. Optimize production processes to reduce energy intensity.</w:t>
      </w:r>
    </w:p>
    <w:p>
      <w:pPr>
        <w:numPr>
          <w:ilvl w:val="0"/>
          <w:numId w:val="1017"/>
        </w:numPr>
        <w:pStyle w:val="Compact"/>
      </w:pPr>
      <w:r>
        <w:rPr>
          <w:bCs/>
          <w:b/>
        </w:rPr>
        <w:t xml:space="preserve">Logistics Optimization:</w:t>
      </w:r>
      <w:r>
        <w:t xml:space="preserve"> </w:t>
      </w:r>
      <w:r>
        <w:t xml:space="preserve">Seek opportunities to optimize transport routes, switch to lower-emission transport modes (e.g., rail, sea over air), and consolidate shipments to improve load factors.</w:t>
      </w:r>
    </w:p>
    <w:p>
      <w:pPr>
        <w:numPr>
          <w:ilvl w:val="0"/>
          <w:numId w:val="1017"/>
        </w:numPr>
        <w:pStyle w:val="Compact"/>
      </w:pPr>
      <w:r>
        <w:rPr>
          <w:bCs/>
          <w:b/>
        </w:rPr>
        <w:t xml:space="preserve">Circular Economy Integration:</w:t>
      </w:r>
      <w:r>
        <w:t xml:space="preserve"> </w:t>
      </w:r>
      <w:r>
        <w:t xml:space="preserve">Further enhance take-back programs, extend product lifespan through modular design and repairability, and ensure high-quality recycling streams.</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lnmkjlyphm</dc:title>
  <dc:creator/>
  <dc:description>Detailed Product Carbon Footprint (PCF) analysis report for lnmkjlyphm by kwigwvefwy, following GHG Protocol standards and 2026 LSR update.</dc:description>
  <dc:language>en</dc:language>
  <cp:keywords/>
  <dcterms:created xsi:type="dcterms:W3CDTF">2026-05-30T10:33:24Z</dcterms:created>
  <dcterms:modified xsi:type="dcterms:W3CDTF">2026-05-30T10:33:24Z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