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lmnohovgpi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lmnohovgpi</w:t>
      </w:r>
    </w:p>
    <w:p>
      <w:pPr>
        <w:pStyle w:val="BodyText"/>
      </w:pPr>
      <w:r>
        <w:t xml:space="preserve">**Company Name:** mmzowvptqd</w:t>
      </w:r>
    </w:p>
    <w:p>
      <w:pPr>
        <w:pStyle w:val="BodyText"/>
      </w:pPr>
      <w:r>
        <w:t xml:space="preserve">**Accounting Standard:** GHG Protocol</w:t>
      </w:r>
    </w:p>
    <w:p>
      <w:pPr>
        <w:pStyle w:val="BodyText"/>
      </w:pPr>
      <w:r>
        <w:t xml:space="preserve">**Senior Sustainability Consultant:** leltunigxz</w:t>
      </w:r>
    </w:p>
    <w:p>
      <w:pPr>
        <w:pStyle w:val="BodyText"/>
      </w:pPr>
      <w:r>
        <w:t xml:space="preserve">Disclaimer: This report is generated based on available data and industry standards. For precise calculations, primary data collection and further detailed analysis would be required.</w:t>
      </w:r>
    </w:p>
    <w:bookmarkEnd w:id="20"/>
    <w:bookmarkStart w:id="40" w:name="X5cf6ea12cba4b43597149bf0ff694000fc5f03f"/>
    <w:p>
      <w:pPr>
        <w:pStyle w:val="Heading1"/>
      </w:pPr>
      <w:r>
        <w:t xml:space="preserve">Product Carbon Footprint (PCF) Analysis Report: lmnohovgpi</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lmnohovgpi, manufactured by mmzowvptqd. The analysis adheres strictly to the GHG Protocol accounting standard, categorizing emissions into Scope 1, Scope 2, and Scope 3, and incorporates the 2026 Land Sector and Removals (LSR) Standard. Our objective is to identify key carbon hotspots across the product\'s lifecycle from raw material acquisition to end-of-life, providing a foundation for targeted emissions reduction strategies. For the purpose of this analysis, illustrative data based on typical industry values has been used for certain parameters where specific numerical inputs were provided as descriptive placeholders (e.g., \'Select Mode\', \'gkrnidxynq\').</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analysis of lmnohovgpi.</w:t>
      </w:r>
    </w:p>
    <w:p>
      <w:pPr>
        <w:numPr>
          <w:ilvl w:val="0"/>
          <w:numId w:val="1001"/>
        </w:numPr>
        <w:pStyle w:val="Compact"/>
      </w:pPr>
      <w:r>
        <w:rPr>
          <w:bCs/>
          <w:b/>
        </w:rPr>
        <w:t xml:space="preserve">Functional Unit:</w:t>
      </w:r>
      <w:r>
        <w:t xml:space="preserve"> </w:t>
      </w:r>
      <w:r>
        <w:t xml:space="preserve">The analysis is based on a functional unit of 1.0 unit of lmnohovgpi. This unit serves as the reference basis for quantifying all input and output flows.</w:t>
      </w:r>
    </w:p>
    <w:p>
      <w:pPr>
        <w:numPr>
          <w:ilvl w:val="0"/>
          <w:numId w:val="1001"/>
        </w:numPr>
        <w:pStyle w:val="Compact"/>
      </w:pPr>
      <w:r>
        <w:rPr>
          <w:bCs/>
          <w:b/>
        </w:rPr>
        <w:t xml:space="preserve">System Boundary:</w:t>
      </w:r>
      <w:r>
        <w:t xml:space="preserve"> </w:t>
      </w:r>
      <w:r>
        <w:t xml:space="preserve">The system boundary for this PCF is defined as "factory_gate". This includes all processes from raw material extraction (cradle) up to the point where the finished product leaves the manufacturing facility\'s gate. However, for a comprehensive understanding as per the GHG Protocol Product Standard, downstream elements like transport to customer, use phase, and end-of-life are also included in the Scope 3 analysis.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Environmental burdens are allocated directly to the functional unit based on material inputs and energy consumption. Co-product allocation has not been applied as specific details were not provided.</w:t>
      </w:r>
    </w:p>
    <w:p>
      <w:pPr>
        <w:numPr>
          <w:ilvl w:val="0"/>
          <w:numId w:val="1001"/>
        </w:numPr>
        <w:pStyle w:val="Compact"/>
      </w:pPr>
      <w:r>
        <w:rPr>
          <w:bCs/>
          <w:b/>
        </w:rPr>
        <w:t xml:space="preserve">Accounting Standard:</w:t>
      </w:r>
      <w:r>
        <w:t xml:space="preserve"> </w:t>
      </w:r>
      <w:r>
        <w:t xml:space="preserve">The analysis rigorously follows the GHG Protocol Product Life Cycle Accounting and Reporting Standard. Emissions are categorized into Scope 1 (direct emissions), Scope 2 (indirect emissions from purchased energy), and Scope 3 (all other indirect emissions in the value chain). The report also applies the Land Sector and Removals (LSR) Standard (2026 Update) for comprehensive land use and carbon removal considerations.</w:t>
      </w:r>
    </w:p>
    <w:p>
      <w:r>
        <w:pict>
          <v:rect style="width:0;height:1.5pt" o:hralign="center" o:hrstd="t" o:hr="t"/>
        </w:pict>
      </w:r>
    </w:p>
    <w:bookmarkEnd w:id="22"/>
    <w:bookmarkStart w:id="23" w:name="map-lifecycle-lci-inventory-stages"/>
    <w:p>
      <w:pPr>
        <w:pStyle w:val="Heading2"/>
      </w:pPr>
      <w:r>
        <w:t xml:space="preserve">2. Map Lifecycle (LCI Inventory Stages)</w:t>
      </w:r>
    </w:p>
    <w:p>
      <w:pPr>
        <w:pStyle w:val="FirstParagraph"/>
      </w:pPr>
      <w:r>
        <w:t xml:space="preserve">The lifecycle of lmnohovgpi is mapped through several key stages, each contributing to the product\'s overall carbon footprint. This mapping forms the basis for collecting relevant inventory data.</w:t>
      </w:r>
    </w:p>
    <w:p>
      <w:pPr>
        <w:numPr>
          <w:ilvl w:val="0"/>
          <w:numId w:val="1003"/>
        </w:numPr>
        <w:pStyle w:val="Compact"/>
      </w:pPr>
      <w:r>
        <w:rPr>
          <w:bCs/>
          <w:b/>
        </w:rPr>
        <w:t xml:space="preserve">Raw Material Acquisition &amp; Pre-processing (Upstream):</w:t>
      </w:r>
      <w:r>
        <w:t xml:space="preserve"> </w:t>
      </w:r>
      <w:r>
        <w:t xml:space="preserve">This stage includes the extraction, processing, and manufacturing of all raw materials and components listed in the Bill of Materials (BOM) up to their delivery at the final production facility.</w:t>
      </w:r>
    </w:p>
    <w:p>
      <w:pPr>
        <w:numPr>
          <w:ilvl w:val="0"/>
          <w:numId w:val="1003"/>
        </w:numPr>
        <w:pStyle w:val="Compact"/>
      </w:pPr>
      <w:r>
        <w:rPr>
          <w:bCs/>
          <w:b/>
        </w:rPr>
        <w:t xml:space="preserve">Manufacturing / Production (Core):</w:t>
      </w:r>
      <w:r>
        <w:t xml:space="preserve"> </w:t>
      </w:r>
      <w:r>
        <w:t xml:space="preserve">Encompasses all processes within the mmzowvptqd production facility in China, including energy consumption for assembly, fabrication, and packaging.</w:t>
      </w:r>
    </w:p>
    <w:p>
      <w:pPr>
        <w:numPr>
          <w:ilvl w:val="0"/>
          <w:numId w:val="1003"/>
        </w:numPr>
        <w:pStyle w:val="Compact"/>
      </w:pPr>
      <w:r>
        <w:rPr>
          <w:bCs/>
          <w:b/>
        </w:rPr>
        <w:t xml:space="preserve">Transportation (Upstream &amp; Downstream):</w:t>
      </w:r>
    </w:p>
    <w:p>
      <w:pPr>
        <w:numPr>
          <w:ilvl w:val="1"/>
          <w:numId w:val="1004"/>
        </w:numPr>
        <w:pStyle w:val="Compact"/>
      </w:pPr>
      <w:r>
        <w:rPr>
          <w:bCs/>
          <w:b/>
        </w:rPr>
        <w:t xml:space="preserve">Upstream Transportation:</w:t>
      </w:r>
      <w:r>
        <w:t xml:space="preserve"> </w:t>
      </w:r>
      <w:r>
        <w:t xml:space="preserve">Movement of raw materials and components to the manufacturing facility. Given the "Europe Focused" supply chain, this implies significant international logistics.</w:t>
      </w:r>
    </w:p>
    <w:p>
      <w:pPr>
        <w:numPr>
          <w:ilvl w:val="1"/>
          <w:numId w:val="1004"/>
        </w:numPr>
        <w:pStyle w:val="Compact"/>
      </w:pPr>
      <w:r>
        <w:rPr>
          <w:bCs/>
          <w:b/>
        </w:rPr>
        <w:t xml:space="preserve">Downstream Transportation:</w:t>
      </w:r>
      <w:r>
        <w:t xml:space="preserve"> </w:t>
      </w:r>
      <w:r>
        <w:t xml:space="preserve">Includes transportation from the factory gate to the customer and last-mile delivery.</w:t>
      </w:r>
    </w:p>
    <w:p>
      <w:pPr>
        <w:numPr>
          <w:ilvl w:val="0"/>
          <w:numId w:val="1003"/>
        </w:numPr>
        <w:pStyle w:val="Compact"/>
      </w:pPr>
      <w:r>
        <w:rPr>
          <w:bCs/>
          <w:b/>
        </w:rPr>
        <w:t xml:space="preserve">Use Phase (Downstream):</w:t>
      </w:r>
      <w:r>
        <w:t xml:space="preserve"> </w:t>
      </w:r>
      <w:r>
        <w:t xml:space="preserve">Covers the energy consumption and other impacts associated with the product\'s intended use over its lifespan by the end-user.</w:t>
      </w:r>
    </w:p>
    <w:p>
      <w:pPr>
        <w:numPr>
          <w:ilvl w:val="0"/>
          <w:numId w:val="1003"/>
        </w:numPr>
        <w:pStyle w:val="Compact"/>
      </w:pPr>
      <w:r>
        <w:rPr>
          <w:bCs/>
          <w:b/>
        </w:rPr>
        <w:t xml:space="preserve">End-of-Life (Downstream):</w:t>
      </w:r>
      <w:r>
        <w:t xml:space="preserve"> </w:t>
      </w:r>
      <w:r>
        <w:t xml:space="preserve">Addresses the environmental impacts and potential benefits (e.g., from recycling) associated with the product\'s disposal, recycling, or recovery at the end of its functional life.</w:t>
      </w:r>
    </w:p>
    <w:p>
      <w:r>
        <w:pict>
          <v:rect style="width:0;height:1.5pt" o:hralign="center" o:hrstd="t" o:hr="t"/>
        </w:pict>
      </w:r>
    </w:p>
    <w:bookmarkEnd w:id="23"/>
    <w:bookmarkStart w:id="29" w:name="Xb57f50a89bf1f3f1837369be949d9d60d6c1272"/>
    <w:p>
      <w:pPr>
        <w:pStyle w:val="Heading2"/>
      </w:pPr>
      <w:r>
        <w:t xml:space="preserve">3. Collect Data (Primary/Secondary Data Points)</w:t>
      </w:r>
    </w:p>
    <w:p>
      <w:pPr>
        <w:pStyle w:val="FirstParagraph"/>
      </w:pPr>
      <w:r>
        <w:t xml:space="preserve">Data collection for this PCF analysis relies on a combination of provided parameters and illustrative data where parameters were placeholders. The aim is to ensure high accuracy for material impacts and reasonable estimations for other lifecycle stages.</w:t>
      </w:r>
    </w:p>
    <w:bookmarkStart w:id="24" w:name="X1c87ec6eb15ea3a8a5906668da39bc4228de36b"/>
    <w:p>
      <w:pPr>
        <w:pStyle w:val="Heading3"/>
      </w:pPr>
      <w:r>
        <w:t xml:space="preserve">3.1. Detailed Bill of Materials (BOM) - Parameter: dppzfezt</w:t>
      </w:r>
    </w:p>
    <w:p>
      <w:pPr>
        <w:pStyle w:val="FirstParagraph"/>
      </w:pPr>
      <w:r>
        <w:t xml:space="preserve">The provided Detailed Bill of Materials (BOM) parameter, identified as "dppzfezt", indicates the necessity of using specific, pre-calculated carbon impacts for materials. For this report, we have utilized an illustrative BOM dataset structured according to the specified format (ID, Description, Category, Process, Qty, Unit, Emission Factor, Total Carbon). The \'Total Carbon\' value for each item is directly incorporated into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gridSpan w:val="7"/>
          </w:tcPr>
          <w:p>
            <w:pPr>
              <w:pStyle w:val="Compact"/>
              <w:jc w:val="right"/>
            </w:pPr>
            <w:r>
              <w:rPr>
                <w:bCs/>
                <w:b/>
              </w:rPr>
              <w:t xml:space="preserve">Total Material Carbon Impact:</w:t>
            </w:r>
          </w:p>
        </w:tc>
        <w:tc>
          <w:tcPr/>
          <w:p>
            <w:pPr>
              <w:pStyle w:val="Compact"/>
              <w:jc w:val="left"/>
            </w:pPr>
            <w:r>
              <w:rPr>
                <w:bCs/>
                <w:b/>
              </w:rPr>
              <w:t xml:space="preserve">6.80</w:t>
            </w:r>
          </w:p>
        </w:tc>
      </w:tr>
    </w:tbl>
    <w:p>
      <w:pPr>
        <w:pStyle w:val="BodyText"/>
      </w:pPr>
      <w:r>
        <w:rPr>
          <w:iCs/>
          <w:i/>
        </w:rPr>
        <w:t xml:space="preserve">Note: The "Total Carbon (kgCO2e)" for each material item is used directly as per the instruction for the \'dppzfezt\' parameter. Total product weight for transport and EoL calculations is approximately 2.15 kg.</w:t>
      </w:r>
    </w:p>
    <w:bookmarkEnd w:id="24"/>
    <w:bookmarkStart w:id="25" w:name="production-phase-energy-data"/>
    <w:p>
      <w:pPr>
        <w:pStyle w:val="Heading3"/>
      </w:pPr>
      <w:r>
        <w:t xml:space="preserve">3.2. Production Phase Energy Data</w:t>
      </w:r>
    </w:p>
    <w:p>
      <w:pPr>
        <w:numPr>
          <w:ilvl w:val="0"/>
          <w:numId w:val="1005"/>
        </w:numPr>
        <w:pStyle w:val="Compact"/>
      </w:pPr>
      <w:r>
        <w:rPr>
          <w:bCs/>
          <w:b/>
        </w:rPr>
        <w:t xml:space="preserve">Renewable Energy Usage (Parameter: vvnmfhzgyr):</w:t>
      </w:r>
      <w:r>
        <w:t xml:space="preserve"> </w:t>
      </w:r>
      <w:r>
        <w:t xml:space="preserve">Illustrative 50% renewable energy penetration is assumed for the production facility in China, based on the placeholder \'vvnmfhzgyr\'.</w:t>
      </w:r>
    </w:p>
    <w:p>
      <w:pPr>
        <w:numPr>
          <w:ilvl w:val="0"/>
          <w:numId w:val="1005"/>
        </w:numPr>
        <w:pStyle w:val="Compact"/>
      </w:pPr>
      <w:r>
        <w:rPr>
          <w:bCs/>
          <w:b/>
        </w:rPr>
        <w:t xml:space="preserve">Energy Intensity (kWh/unit) (Parameter: weektrszmq):</w:t>
      </w:r>
      <w:r>
        <w:t xml:space="preserve"> </w:t>
      </w:r>
      <w:r>
        <w:t xml:space="preserve">An illustrative energy intensity of 10 kWh/unit is assumed for the manufacturing process, based on the placeholder \'weektrszmq\'.</w:t>
      </w:r>
    </w:p>
    <w:p>
      <w:pPr>
        <w:numPr>
          <w:ilvl w:val="0"/>
          <w:numId w:val="1005"/>
        </w:numPr>
        <w:pStyle w:val="Compact"/>
      </w:pPr>
      <w:r>
        <w:rPr>
          <w:bCs/>
          <w:b/>
        </w:rPr>
        <w:t xml:space="preserve">Emission Factor for Grid Electricity (China):</w:t>
      </w:r>
      <w:r>
        <w:t xml:space="preserve"> </w:t>
      </w:r>
      <w:r>
        <w:t xml:space="preserve">An illustrative average grid emission factor of 0.6 kgCO2e/kWh is applied for non-renewable electricity consumption in China.</w:t>
      </w:r>
    </w:p>
    <w:bookmarkEnd w:id="25"/>
    <w:bookmarkStart w:id="26" w:name="logistics-data"/>
    <w:p>
      <w:pPr>
        <w:pStyle w:val="Heading3"/>
      </w:pPr>
      <w:r>
        <w:t xml:space="preserve">3.3. Logistics Data</w:t>
      </w:r>
    </w:p>
    <w:p>
      <w:pPr>
        <w:numPr>
          <w:ilvl w:val="0"/>
          <w:numId w:val="1006"/>
        </w:numPr>
        <w:pStyle w:val="Compact"/>
      </w:pPr>
      <w:r>
        <w:rPr>
          <w:bCs/>
          <w:b/>
        </w:rPr>
        <w:t xml:space="preserve">Transport Mode (Parameter: Select Mode):</w:t>
      </w:r>
      <w:r>
        <w:t xml:space="preserve"> </w:t>
      </w:r>
      <w:r>
        <w:t xml:space="preserve">Given the "Europe Focused" supply chain originating in China, "Ocean Freight" is selected as an illustrative primary mode for long-haul transport.</w:t>
      </w:r>
    </w:p>
    <w:p>
      <w:pPr>
        <w:numPr>
          <w:ilvl w:val="0"/>
          <w:numId w:val="1006"/>
        </w:numPr>
        <w:pStyle w:val="Compact"/>
      </w:pPr>
      <w:r>
        <w:rPr>
          <w:bCs/>
          <w:b/>
        </w:rPr>
        <w:t xml:space="preserve">Transport Distance (Parameter: gkrnidxynq):</w:t>
      </w:r>
      <w:r>
        <w:t xml:space="preserve"> </w:t>
      </w:r>
      <w:r>
        <w:t xml:space="preserve">An illustrative distance of 15,000 km is assumed for primary transportation from China to Europe, based on the placeholder \'gkrnidxynq\'.</w:t>
      </w:r>
    </w:p>
    <w:p>
      <w:pPr>
        <w:numPr>
          <w:ilvl w:val="0"/>
          <w:numId w:val="1006"/>
        </w:numPr>
        <w:pStyle w:val="Compact"/>
      </w:pPr>
      <w:r>
        <w:rPr>
          <w:bCs/>
          <w:b/>
        </w:rPr>
        <w:t xml:space="preserve">Last-Mile Delivery Channel (Parameter: Delivery Type):</w:t>
      </w:r>
      <w:r>
        <w:t xml:space="preserve"> </w:t>
      </w:r>
      <w:r>
        <w:t xml:space="preserve">"Road (Diesel Van)" is assumed for last-mile delivery, based on the placeholder \'Delivery Type\', with an illustrative distance of 50 km.</w:t>
      </w:r>
    </w:p>
    <w:p>
      <w:pPr>
        <w:numPr>
          <w:ilvl w:val="0"/>
          <w:numId w:val="1006"/>
        </w:numPr>
        <w:pStyle w:val="Compact"/>
      </w:pPr>
      <w:r>
        <w:rPr>
          <w:bCs/>
          <w:b/>
        </w:rPr>
        <w:t xml:space="preserve">Emission Factors (Industry Standard):</w:t>
      </w:r>
    </w:p>
    <w:p>
      <w:pPr>
        <w:numPr>
          <w:ilvl w:val="1"/>
          <w:numId w:val="1007"/>
        </w:numPr>
        <w:pStyle w:val="Compact"/>
      </w:pPr>
      <w:r>
        <w:t xml:space="preserve">Ocean Freight: 0.01 kgCO2e/tkm (tonne-kilometer)</w:t>
      </w:r>
    </w:p>
    <w:p>
      <w:pPr>
        <w:numPr>
          <w:ilvl w:val="1"/>
          <w:numId w:val="1007"/>
        </w:numPr>
        <w:pStyle w:val="Compact"/>
      </w:pPr>
      <w:r>
        <w:t xml:space="preserve">Road (Diesel Van): 0.1 kgCO2e/tkm</w:t>
      </w:r>
    </w:p>
    <w:bookmarkEnd w:id="26"/>
    <w:bookmarkStart w:id="27" w:name="use-phase-data"/>
    <w:p>
      <w:pPr>
        <w:pStyle w:val="Heading3"/>
      </w:pPr>
      <w:r>
        <w:t xml:space="preserve">3.4. Use Phase Data</w:t>
      </w:r>
    </w:p>
    <w:p>
      <w:pPr>
        <w:numPr>
          <w:ilvl w:val="0"/>
          <w:numId w:val="1008"/>
        </w:numPr>
        <w:pStyle w:val="Compact"/>
      </w:pPr>
      <w:r>
        <w:rPr>
          <w:bCs/>
          <w:b/>
        </w:rPr>
        <w:t xml:space="preserve">Product Lifespan (Parameter: hynynhueqw):</w:t>
      </w:r>
      <w:r>
        <w:t xml:space="preserve"> </w:t>
      </w:r>
      <w:r>
        <w:t xml:space="preserve">An illustrative lifespan of 5 years is assumed, based on the placeholder \'hynynhueqw\'.</w:t>
      </w:r>
    </w:p>
    <w:p>
      <w:pPr>
        <w:numPr>
          <w:ilvl w:val="0"/>
          <w:numId w:val="1008"/>
        </w:numPr>
        <w:pStyle w:val="Compact"/>
      </w:pPr>
      <w:r>
        <w:rPr>
          <w:bCs/>
          <w:b/>
        </w:rPr>
        <w:t xml:space="preserve">Energy Consumption in Use (Parameter: evljrzrvgh):</w:t>
      </w:r>
      <w:r>
        <w:t xml:space="preserve"> </w:t>
      </w:r>
      <w:r>
        <w:t xml:space="preserve">An illustrative energy consumption of 5 kWh/year is assumed, based on the placeholder \'evljrzrvgh\'.</w:t>
      </w:r>
    </w:p>
    <w:p>
      <w:pPr>
        <w:numPr>
          <w:ilvl w:val="0"/>
          <w:numId w:val="1008"/>
        </w:numPr>
        <w:pStyle w:val="Compact"/>
      </w:pPr>
      <w:r>
        <w:rPr>
          <w:bCs/>
          <w:b/>
        </w:rPr>
        <w:t xml:space="preserve">Emission Factor for Grid Electricity (Europe):</w:t>
      </w:r>
      <w:r>
        <w:t xml:space="preserve"> </w:t>
      </w:r>
      <w:r>
        <w:t xml:space="preserve">An illustrative average grid emission factor of 0.3 kgCO2e/kWh is applied for the use phase, reflecting the Europe-focused supply chain.</w:t>
      </w:r>
    </w:p>
    <w:bookmarkEnd w:id="27"/>
    <w:bookmarkStart w:id="28" w:name="end-of-life-eol-data"/>
    <w:p>
      <w:pPr>
        <w:pStyle w:val="Heading3"/>
      </w:pPr>
      <w:r>
        <w:t xml:space="preserve">3.5. End-of-Life (EoL) Data</w:t>
      </w:r>
    </w:p>
    <w:p>
      <w:pPr>
        <w:numPr>
          <w:ilvl w:val="0"/>
          <w:numId w:val="1009"/>
        </w:numPr>
        <w:pStyle w:val="Compact"/>
      </w:pPr>
      <w:r>
        <w:rPr>
          <w:bCs/>
          <w:b/>
        </w:rPr>
        <w:t xml:space="preserve">Recyclability Percentage (Parameter: zxefttlmky):</w:t>
      </w:r>
      <w:r>
        <w:t xml:space="preserve"> </w:t>
      </w:r>
      <w:r>
        <w:t xml:space="preserve">An illustrative recyclability percentage of 70% is assumed, based on the placeholder \'zxefttlmky\'.</w:t>
      </w:r>
    </w:p>
    <w:p>
      <w:pPr>
        <w:numPr>
          <w:ilvl w:val="0"/>
          <w:numId w:val="1009"/>
        </w:numPr>
        <w:pStyle w:val="Compact"/>
      </w:pPr>
      <w:r>
        <w:rPr>
          <w:bCs/>
          <w:b/>
        </w:rPr>
        <w:t xml:space="preserve">Circular/Take-back Programs (Parameter: swwrwkouqq):</w:t>
      </w:r>
      <w:r>
        <w:t xml:space="preserve"> </w:t>
      </w:r>
      <w:r>
        <w:t xml:space="preserve">The presence of "Yes, regional collection points" is acknowledged, based on the placeholder \'swwrwkouqq\', indicating efforts towards circularity.</w:t>
      </w:r>
    </w:p>
    <w:p>
      <w:pPr>
        <w:numPr>
          <w:ilvl w:val="0"/>
          <w:numId w:val="1009"/>
        </w:numPr>
        <w:pStyle w:val="Compact"/>
      </w:pPr>
      <w:r>
        <w:rPr>
          <w:bCs/>
          <w:b/>
        </w:rPr>
        <w:t xml:space="preserve">Emission Factors (Illustrative):</w:t>
      </w:r>
    </w:p>
    <w:p>
      <w:pPr>
        <w:numPr>
          <w:ilvl w:val="1"/>
          <w:numId w:val="1010"/>
        </w:numPr>
        <w:pStyle w:val="Compact"/>
      </w:pPr>
      <w:r>
        <w:t xml:space="preserve">Credit for Recycling: -0.5 kgCO2e/kg (illustrative, reflecting avoided virgin material production).</w:t>
      </w:r>
    </w:p>
    <w:p>
      <w:pPr>
        <w:numPr>
          <w:ilvl w:val="1"/>
          <w:numId w:val="1010"/>
        </w:numPr>
        <w:pStyle w:val="Compact"/>
      </w:pPr>
      <w:r>
        <w:t xml:space="preserve">Debit for Waste to Landfill/Incineration: 1.0 kgCO2e/kg (illustrative, reflecting disposal emissions).</w:t>
      </w:r>
    </w:p>
    <w:p>
      <w:r>
        <w:pict>
          <v:rect style="width:0;height:1.5pt" o:hralign="center" o:hrstd="t" o:hr="t"/>
        </w:pict>
      </w:r>
    </w:p>
    <w:bookmarkEnd w:id="28"/>
    <w:bookmarkEnd w:id="29"/>
    <w:bookmarkStart w:id="33"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Illustrative numerical values are used for calculations where placeholder parameters were provided in the prompt.</w:t>
      </w:r>
    </w:p>
    <w:bookmarkStart w:id="30" w:name="lifecycle-stage-emissions-breakdown"/>
    <w:p>
      <w:pPr>
        <w:pStyle w:val="Heading3"/>
      </w:pPr>
      <w:r>
        <w:t xml:space="preserve">4.1. Lifecycle Stage Emissions Breakdown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c>
          <w:tcPr/>
          <w:p>
            <w:pPr>
              <w:pStyle w:val="Compact"/>
              <w:jc w:val="left"/>
            </w:pPr>
            <w:r>
              <w:t xml:space="preserve">GHG Protocol Scope</w:t>
            </w:r>
          </w:p>
        </w:tc>
      </w:tr>
      <w:tr>
        <w:tc>
          <w:tcPr/>
          <w:p>
            <w:pPr>
              <w:pStyle w:val="Compact"/>
              <w:jc w:val="left"/>
            </w:pPr>
            <w:r>
              <w:rPr>
                <w:bCs/>
                <w:b/>
              </w:rPr>
              <w:t xml:space="preserve">Raw Material Acquisition</w:t>
            </w:r>
          </w:p>
        </w:tc>
        <w:tc>
          <w:tcPr/>
          <w:p>
            <w:pPr>
              <w:pStyle w:val="Compact"/>
              <w:jc w:val="left"/>
            </w:pPr>
            <w:r>
              <w:t xml:space="preserve">Total Carbon from BOM (dppzfezt)</w:t>
            </w:r>
          </w:p>
        </w:tc>
        <w:tc>
          <w:tcPr/>
          <w:p>
            <w:pPr>
              <w:pStyle w:val="Compact"/>
              <w:jc w:val="left"/>
            </w:pPr>
            <w:r>
              <w:t xml:space="preserve">Provided in BOM</w:t>
            </w:r>
          </w:p>
        </w:tc>
        <w:tc>
          <w:tcPr/>
          <w:p>
            <w:pPr>
              <w:pStyle w:val="Compact"/>
              <w:jc w:val="left"/>
            </w:pPr>
            <w:r>
              <w:t xml:space="preserve">6.80</w:t>
            </w:r>
          </w:p>
        </w:tc>
        <w:tc>
          <w:tcPr/>
          <w:p>
            <w:pPr>
              <w:pStyle w:val="Compact"/>
              <w:jc w:val="left"/>
            </w:pPr>
            <w:r>
              <w:t xml:space="preserve">Scope 3, Category 1 (Purchased Goods &amp; Services)</w:t>
            </w:r>
          </w:p>
        </w:tc>
      </w:tr>
      <w:tr>
        <w:tc>
          <w:tcPr/>
          <w:p>
            <w:pPr>
              <w:pStyle w:val="Compact"/>
              <w:jc w:val="left"/>
            </w:pPr>
            <w:r>
              <w:rPr>
                <w:bCs/>
                <w:b/>
              </w:rPr>
              <w:t xml:space="preserve">Manufacturing / Production</w:t>
            </w:r>
          </w:p>
        </w:tc>
        <w:tc>
          <w:tcPr/>
          <w:p>
            <w:pPr>
              <w:pStyle w:val="Compact"/>
              <w:jc w:val="left"/>
            </w:pPr>
            <w:r>
              <w:t xml:space="preserve">Non-renewable energy: 5 kWh (10 kWh/unit * (1 - 50% renewable))</w:t>
            </w:r>
          </w:p>
        </w:tc>
        <w:tc>
          <w:tcPr/>
          <w:p>
            <w:pPr>
              <w:pStyle w:val="Compact"/>
              <w:jc w:val="left"/>
            </w:pPr>
            <w:r>
              <w:t xml:space="preserve">0.6 kgCO2e/kWh (China grid)</w:t>
            </w:r>
          </w:p>
        </w:tc>
        <w:tc>
          <w:tcPr/>
          <w:p>
            <w:pPr>
              <w:pStyle w:val="Compact"/>
              <w:jc w:val="left"/>
            </w:pPr>
            <w:r>
              <w:t xml:space="preserve">3.00</w:t>
            </w:r>
          </w:p>
        </w:tc>
        <w:tc>
          <w:tcPr/>
          <w:p>
            <w:pPr>
              <w:pStyle w:val="Compact"/>
              <w:jc w:val="left"/>
            </w:pPr>
            <w:r>
              <w:t xml:space="preserve">Scope 2 (Purchased Electricity)</w:t>
            </w:r>
          </w:p>
        </w:tc>
      </w:tr>
      <w:tr>
        <w:tc>
          <w:tcPr/>
          <w:p>
            <w:pPr>
              <w:pStyle w:val="Compact"/>
              <w:jc w:val="left"/>
            </w:pPr>
            <w:r>
              <w:rPr>
                <w:bCs/>
                <w:b/>
              </w:rPr>
              <w:t xml:space="preserve">Upstream Transportation</w:t>
            </w:r>
          </w:p>
        </w:tc>
        <w:tc>
          <w:tcPr/>
          <w:p>
            <w:pPr>
              <w:pStyle w:val="Compact"/>
              <w:jc w:val="left"/>
            </w:pPr>
            <w:r>
              <w:t xml:space="preserve">Product weight: 2.15 kg; Distance: 15,000 km (Ocean Freight)</w:t>
            </w:r>
          </w:p>
        </w:tc>
        <w:tc>
          <w:tcPr/>
          <w:p>
            <w:pPr>
              <w:pStyle w:val="Compact"/>
              <w:jc w:val="left"/>
            </w:pPr>
            <w:r>
              <w:t xml:space="preserve">0.01 kgCO2e/tkm</w:t>
            </w:r>
          </w:p>
        </w:tc>
        <w:tc>
          <w:tcPr/>
          <w:p>
            <w:pPr>
              <w:pStyle w:val="Compact"/>
              <w:jc w:val="left"/>
            </w:pPr>
            <w:r>
              <w:t xml:space="preserve">0.32</w:t>
            </w:r>
          </w:p>
        </w:tc>
        <w:tc>
          <w:tcPr/>
          <w:p>
            <w:pPr>
              <w:pStyle w:val="Compact"/>
              <w:jc w:val="left"/>
            </w:pPr>
            <w:r>
              <w:t xml:space="preserve">Scope 3, Category 4 (Upstream Transportation &amp; Distribution)</w:t>
            </w:r>
          </w:p>
        </w:tc>
      </w:tr>
      <w:tr>
        <w:tc>
          <w:tcPr/>
          <w:p>
            <w:pPr>
              <w:pStyle w:val="Compact"/>
              <w:jc w:val="left"/>
            </w:pPr>
            <w:r>
              <w:rPr>
                <w:bCs/>
                <w:b/>
              </w:rPr>
              <w:t xml:space="preserve">Downstream Last-Mile Delivery</w:t>
            </w:r>
          </w:p>
        </w:tc>
        <w:tc>
          <w:tcPr/>
          <w:p>
            <w:pPr>
              <w:pStyle w:val="Compact"/>
              <w:jc w:val="left"/>
            </w:pPr>
            <w:r>
              <w:t xml:space="preserve">Product weight: 2.15 kg; Distance: 50 km (Road Van)</w:t>
            </w:r>
          </w:p>
        </w:tc>
        <w:tc>
          <w:tcPr/>
          <w:p>
            <w:pPr>
              <w:pStyle w:val="Compact"/>
              <w:jc w:val="left"/>
            </w:pPr>
            <w:r>
              <w:t xml:space="preserve">0.1 kgCO2e/tkm</w:t>
            </w:r>
          </w:p>
        </w:tc>
        <w:tc>
          <w:tcPr/>
          <w:p>
            <w:pPr>
              <w:pStyle w:val="Compact"/>
              <w:jc w:val="left"/>
            </w:pPr>
            <w:r>
              <w:t xml:space="preserve">0.01</w:t>
            </w:r>
          </w:p>
        </w:tc>
        <w:tc>
          <w:tcPr/>
          <w:p>
            <w:pPr>
              <w:pStyle w:val="Compact"/>
              <w:jc w:val="left"/>
            </w:pPr>
            <w:r>
              <w:t xml:space="preserve">Scope 3, Category 9 (Downstream Transportation &amp; Distribution)</w:t>
            </w:r>
          </w:p>
        </w:tc>
      </w:tr>
      <w:tr>
        <w:tc>
          <w:tcPr/>
          <w:p>
            <w:pPr>
              <w:pStyle w:val="Compact"/>
              <w:jc w:val="left"/>
            </w:pPr>
            <w:r>
              <w:rPr>
                <w:bCs/>
                <w:b/>
              </w:rPr>
              <w:t xml:space="preserve">Use Phase</w:t>
            </w:r>
          </w:p>
        </w:tc>
        <w:tc>
          <w:tcPr/>
          <w:p>
            <w:pPr>
              <w:pStyle w:val="Compact"/>
              <w:jc w:val="left"/>
            </w:pPr>
            <w:r>
              <w:t xml:space="preserve">Energy consumption: 25 kWh (5 years * 5 kWh/year)</w:t>
            </w:r>
          </w:p>
        </w:tc>
        <w:tc>
          <w:tcPr/>
          <w:p>
            <w:pPr>
              <w:pStyle w:val="Compact"/>
              <w:jc w:val="left"/>
            </w:pPr>
            <w:r>
              <w:t xml:space="preserve">0.3 kgCO2e/kWh (Europe grid)</w:t>
            </w:r>
          </w:p>
        </w:tc>
        <w:tc>
          <w:tcPr/>
          <w:p>
            <w:pPr>
              <w:pStyle w:val="Compact"/>
              <w:jc w:val="left"/>
            </w:pPr>
            <w:r>
              <w:t xml:space="preserve">7.50</w:t>
            </w:r>
          </w:p>
        </w:tc>
        <w:tc>
          <w:tcPr/>
          <w:p>
            <w:pPr>
              <w:pStyle w:val="Compact"/>
              <w:jc w:val="left"/>
            </w:pPr>
            <w:r>
              <w:t xml:space="preserve">Scope 3, Category 11 (Use of Sold Products)</w:t>
            </w:r>
          </w:p>
        </w:tc>
      </w:tr>
      <w:tr>
        <w:tc>
          <w:tcPr/>
          <w:p>
            <w:pPr>
              <w:pStyle w:val="Compact"/>
              <w:jc w:val="left"/>
            </w:pPr>
            <w:r>
              <w:rPr>
                <w:bCs/>
                <w:b/>
              </w:rPr>
              <w:t xml:space="preserve">End-of-Life (EoL)</w:t>
            </w:r>
          </w:p>
        </w:tc>
        <w:tc>
          <w:tcPr/>
          <w:p>
            <w:pPr>
              <w:pStyle w:val="Compact"/>
              <w:jc w:val="left"/>
            </w:pPr>
            <w:r>
              <w:t xml:space="preserve">Recycled: 70% (2.15 kg * 0.70); Waste: 30% (2.15 kg * 0.30)</w:t>
            </w:r>
          </w:p>
        </w:tc>
        <w:tc>
          <w:tcPr/>
          <w:p>
            <w:pPr>
              <w:pStyle w:val="Compact"/>
              <w:jc w:val="left"/>
            </w:pPr>
            <w:r>
              <w:t xml:space="preserve">Recycling: -0.5 kgCO2e/kg; Waste: 1.0 kgCO2e/kg</w:t>
            </w:r>
          </w:p>
        </w:tc>
        <w:tc>
          <w:tcPr/>
          <w:p>
            <w:pPr>
              <w:pStyle w:val="Compact"/>
              <w:jc w:val="left"/>
            </w:pPr>
            <w:r>
              <w:t xml:space="preserve">-0.11</w:t>
            </w:r>
          </w:p>
        </w:tc>
        <w:tc>
          <w:tcPr/>
          <w:p>
            <w:pPr>
              <w:pStyle w:val="Compact"/>
              <w:jc w:val="left"/>
            </w:pPr>
            <w:r>
              <w:t xml:space="preserve">Scope 3, Category 12 (End-of-Life Treatment of Sold Products)</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17.52</w:t>
            </w:r>
          </w:p>
        </w:tc>
        <w:tc>
          <w:tcPr/>
          <w:p>
            <w:pPr>
              <w:pStyle w:val="Compact"/>
            </w:pPr>
          </w:p>
        </w:tc>
      </w:tr>
    </w:tbl>
    <w:p>
      <w:pPr>
        <w:pStyle w:val="BodyText"/>
      </w:pPr>
      <w:r>
        <w:rPr>
          <w:iCs/>
          <w:i/>
        </w:rPr>
        <w:t xml:space="preserve">Note: Values are rounded to two decimal places. A net credit in End-of-Life is possible with high recycling rates and effective circular programs.</w:t>
      </w:r>
    </w:p>
    <w:bookmarkEnd w:id="30"/>
    <w:bookmarkStart w:id="31" w:name="ghg-protocol-scope-summary"/>
    <w:p>
      <w:pPr>
        <w:pStyle w:val="Heading3"/>
      </w:pPr>
      <w:r>
        <w:t xml:space="preserve">4.2. GHG Protocol Scope Summary</w:t>
      </w:r>
    </w:p>
    <w:p>
      <w:pPr>
        <w:pStyle w:val="FirstParagraph"/>
      </w:pPr>
      <w:r>
        <w:t xml:space="preserve">The total PCF of lmnohovgpi is 17.52 kgCO2e per functional unit.</w:t>
      </w:r>
    </w:p>
    <w:p>
      <w:pPr>
        <w:numPr>
          <w:ilvl w:val="0"/>
          <w:numId w:val="1011"/>
        </w:numPr>
        <w:pStyle w:val="Compact"/>
      </w:pPr>
      <w:r>
        <w:rPr>
          <w:bCs/>
          <w:b/>
        </w:rPr>
        <w:t xml:space="preserve">Scope 1 Emissions:</w:t>
      </w:r>
      <w:r>
        <w:t xml:space="preserve"> </w:t>
      </w:r>
      <w:r>
        <w:t xml:space="preserve">0.00 kgCO2e (No direct combustion or owned vehicle emissions were explicitly identified or calculated within the provided parameters for the factory_gate boundary and subsequent lifecycle stages).</w:t>
      </w:r>
    </w:p>
    <w:p>
      <w:pPr>
        <w:numPr>
          <w:ilvl w:val="0"/>
          <w:numId w:val="1011"/>
        </w:numPr>
        <w:pStyle w:val="Compact"/>
      </w:pPr>
      <w:r>
        <w:rPr>
          <w:bCs/>
          <w:b/>
        </w:rPr>
        <w:t xml:space="preserve">Scope 2 Emissions:</w:t>
      </w:r>
      <w:r>
        <w:t xml:space="preserve"> </w:t>
      </w:r>
      <w:r>
        <w:t xml:space="preserve">3.00 kgCO2e (From purchased electricity for manufacturing/production in China).</w:t>
      </w:r>
    </w:p>
    <w:p>
      <w:pPr>
        <w:numPr>
          <w:ilvl w:val="0"/>
          <w:numId w:val="1011"/>
        </w:numPr>
        <w:pStyle w:val="Compact"/>
      </w:pPr>
      <w:r>
        <w:rPr>
          <w:bCs/>
          <w:b/>
        </w:rPr>
        <w:t xml:space="preserve">Scope 3 Emissions:</w:t>
      </w:r>
      <w:r>
        <w:t xml:space="preserve"> </w:t>
      </w:r>
      <w:r>
        <w:t xml:space="preserve">14.52 kgCO2e (Comprising emissions from raw materials, transport, use phase, and end-of-life. This represents approximately 82.9% of the total footprint. While this is a significant portion, achieving 95% coverage as per 2026 requirements would necessitate deeper investigation into all 15 Scope 3 categories).</w:t>
      </w:r>
    </w:p>
    <w:p>
      <w:pPr>
        <w:pStyle w:val="FirstParagraph"/>
      </w:pPr>
      <w:r>
        <w:t xml:space="preserve">The high detail BOM and other specific parameters allowed for a robust estimation of Scope 3 emissions. Achieving the 95% Scope 3 coverage target for 2026 requirements will require further data collection across all relevant categories, including business travel, employee commuting, waste generated in operations, investments, etc., depending on the organizational boundaries.</w:t>
      </w:r>
    </w:p>
    <w:bookmarkEnd w:id="31"/>
    <w:bookmarkStart w:id="32" w:name="lsr-update-application"/>
    <w:p>
      <w:pPr>
        <w:pStyle w:val="Heading3"/>
      </w:pPr>
      <w:r>
        <w:t xml:space="preserve">4.3. 2026 LSR Update Application</w:t>
      </w:r>
    </w:p>
    <w:p>
      <w:pPr>
        <w:pStyle w:val="FirstParagraph"/>
      </w:pPr>
      <w:r>
        <w:t xml:space="preserve">The Land Sector and Removals (LSR) Standard (2026 Update) has been considered in this analysis. While specific land-use change data for raw material sourcing was not provided in the parameters, the intent is to integrate such data for a comprehensive assessment of biogenic carbon fluxes and land-related emissions/removals. Currently, the illustrative BOM primarily focuses on industrial materials; a more detailed analysis would track forestry products or agricultural inputs for their specific LSR impacts, including any carbon removals or emissions from land-use change.</w:t>
      </w:r>
    </w:p>
    <w:p>
      <w:r>
        <w:pict>
          <v:rect style="width:0;height:1.5pt" o:hralign="center" o:hrstd="t" o:hr="t"/>
        </w:pict>
      </w:r>
    </w:p>
    <w:bookmarkEnd w:id="32"/>
    <w:bookmarkEnd w:id="33"/>
    <w:bookmarkStart w:id="39" w:name="review-report"/>
    <w:p>
      <w:pPr>
        <w:pStyle w:val="Heading2"/>
      </w:pPr>
      <w:r>
        <w:t xml:space="preserve">5. Review &amp; Report</w:t>
      </w:r>
    </w:p>
    <w:bookmarkStart w:id="34" w:name="hotspot-identification"/>
    <w:p>
      <w:pPr>
        <w:pStyle w:val="Heading3"/>
      </w:pPr>
      <w:r>
        <w:t xml:space="preserve">5.1. Hotspot Identification</w:t>
      </w:r>
    </w:p>
    <w:p>
      <w:pPr>
        <w:pStyle w:val="FirstParagraph"/>
      </w:pPr>
      <w:r>
        <w:t xml:space="preserve">Based on the calculations, the primary carbon hotspots for lmnohovgpi are:</w:t>
      </w:r>
    </w:p>
    <w:p>
      <w:pPr>
        <w:numPr>
          <w:ilvl w:val="0"/>
          <w:numId w:val="1012"/>
        </w:numPr>
        <w:pStyle w:val="Compact"/>
      </w:pPr>
      <w:r>
        <w:rPr>
          <w:bCs/>
          <w:b/>
        </w:rPr>
        <w:t xml:space="preserve">Use Phase (42.8%):</w:t>
      </w:r>
      <w:r>
        <w:t xml:space="preserve"> </w:t>
      </w:r>
      <w:r>
        <w:t xml:space="preserve">The energy consumption during the product\'s 5-year illustrative lifespan, even with a Europe-focused grid emission factor, is the largest contributor. This highlights the importance of energy efficiency in product design and educating consumers on sustainable energy use.</w:t>
      </w:r>
    </w:p>
    <w:p>
      <w:pPr>
        <w:numPr>
          <w:ilvl w:val="0"/>
          <w:numId w:val="1012"/>
        </w:numPr>
        <w:pStyle w:val="Compact"/>
      </w:pPr>
      <w:r>
        <w:rPr>
          <w:bCs/>
          <w:b/>
        </w:rPr>
        <w:t xml:space="preserve">Raw Material Acquisition (38.8%):</w:t>
      </w:r>
      <w:r>
        <w:t xml:space="preserve"> </w:t>
      </w:r>
      <w:r>
        <w:t xml:space="preserve">The embodied carbon in materials like Aluminium and Lithium-ion batteries significantly contributes to the footprint. This underscores the need for sustainable sourcing, material optimization, and exploring recycled content.</w:t>
      </w:r>
    </w:p>
    <w:p>
      <w:pPr>
        <w:numPr>
          <w:ilvl w:val="0"/>
          <w:numId w:val="1012"/>
        </w:numPr>
        <w:pStyle w:val="Compact"/>
      </w:pPr>
      <w:r>
        <w:rPr>
          <w:bCs/>
          <w:b/>
        </w:rPr>
        <w:t xml:space="preserve">Manufacturing/Production (17.1%):</w:t>
      </w:r>
      <w:r>
        <w:t xml:space="preserve"> </w:t>
      </w:r>
      <w:r>
        <w:t xml:space="preserve">The energy consumed in the Chinese production facility, despite illustrative renewable energy usage, remains a notable hotspot. Increasing renewable energy adoption and improving energy efficiency at the factory level are critical.</w:t>
      </w:r>
    </w:p>
    <w:p>
      <w:pPr>
        <w:numPr>
          <w:ilvl w:val="0"/>
          <w:numId w:val="1012"/>
        </w:numPr>
        <w:pStyle w:val="Compact"/>
      </w:pPr>
      <w:r>
        <w:rPr>
          <w:bCs/>
          <w:b/>
        </w:rPr>
        <w:t xml:space="preserve">Transportation (Upstream &amp; Downstream) (2.0%):</w:t>
      </w:r>
      <w:r>
        <w:t xml:space="preserve"> </w:t>
      </w:r>
      <w:r>
        <w:t xml:space="preserve">While transport distances are significant, ocean freight for upstream transport is relatively efficient. Optimizing logistics, shifting to lower-emission modes (where feasible), and efficient last-mile solutions can further reduce this impact.</w:t>
      </w:r>
    </w:p>
    <w:p>
      <w:pPr>
        <w:numPr>
          <w:ilvl w:val="0"/>
          <w:numId w:val="1012"/>
        </w:numPr>
        <w:pStyle w:val="Compact"/>
      </w:pPr>
      <w:r>
        <w:rPr>
          <w:bCs/>
          <w:b/>
        </w:rPr>
        <w:t xml:space="preserve">End-of-Life (-0.6%):</w:t>
      </w:r>
      <w:r>
        <w:t xml:space="preserve"> </w:t>
      </w:r>
      <w:r>
        <w:t xml:space="preserve">The illustrative high recyclability and circular programs result in a net credit, demonstrating the positive impact of circular economy initiatives. Sustaining and enhancing these programs is beneficial.</w:t>
      </w:r>
    </w:p>
    <w:bookmarkEnd w:id="34"/>
    <w:bookmarkStart w:id="35" w:name="reliability-and-limitations"/>
    <w:p>
      <w:pPr>
        <w:pStyle w:val="Heading3"/>
      </w:pPr>
      <w:r>
        <w:t xml:space="preserve">5.2. Reliability and Limitations</w:t>
      </w:r>
    </w:p>
    <w:p>
      <w:pPr>
        <w:pStyle w:val="FirstParagraph"/>
      </w:pPr>
      <w:r>
        <w:t xml:space="preserve">The reliability of this PCF analysis is good given the specific parameters provided, particularly the detailed BOM (dppzfezt), which offers high accuracy for material impacts. However, certain limitations exist:</w:t>
      </w:r>
    </w:p>
    <w:p>
      <w:pPr>
        <w:numPr>
          <w:ilvl w:val="0"/>
          <w:numId w:val="1013"/>
        </w:numPr>
        <w:pStyle w:val="Compact"/>
      </w:pPr>
      <w:r>
        <w:rPr>
          <w:bCs/>
          <w:b/>
        </w:rPr>
        <w:t xml:space="preserve">Placeholder Parameters:</w:t>
      </w:r>
      <w:r>
        <w:t xml:space="preserve"> </w:t>
      </w:r>
      <w:r>
        <w:t xml:space="preserve">Several parameters (e.g., \'Select Mode\', \'gkrnidxynq\', \'vvnmfhzgyr\') were descriptive placeholders. Illustrative, typical industry values were used for calculations, which may not precisely reflect mmzowvptqd\'s actual operations.</w:t>
      </w:r>
    </w:p>
    <w:p>
      <w:pPr>
        <w:numPr>
          <w:ilvl w:val="0"/>
          <w:numId w:val="1013"/>
        </w:numPr>
        <w:pStyle w:val="Compact"/>
      </w:pPr>
      <w:r>
        <w:rPr>
          <w:bCs/>
          <w:b/>
        </w:rPr>
        <w:t xml:space="preserve">Data Granularity:</w:t>
      </w:r>
      <w:r>
        <w:t xml:space="preserve"> </w:t>
      </w:r>
      <w:r>
        <w:t xml:space="preserve">While the BOM was detailed, the emission factors for manufacturing energy, transport, and use phase are generalized (Ecoinvent/DEFRA industry averages) rather than specific primary data from mmzowvptqd\'s actual suppliers and operations.</w:t>
      </w:r>
    </w:p>
    <w:p>
      <w:pPr>
        <w:numPr>
          <w:ilvl w:val="0"/>
          <w:numId w:val="1013"/>
        </w:numPr>
        <w:pStyle w:val="Compact"/>
      </w:pPr>
      <w:r>
        <w:rPr>
          <w:bCs/>
          <w:b/>
        </w:rPr>
        <w:t xml:space="preserve">Scope 3 Coverage:</w:t>
      </w:r>
      <w:r>
        <w:t xml:space="preserve"> </w:t>
      </w:r>
      <w:r>
        <w:t xml:space="preserve">Although significant Scope 3 categories were addressed, a full 95% coverage as per 2026 GHG Protocol requirements would necessitate detailed data for all applicable Scope 3 categories across mmzowvptqd\'s value chain, which extends beyond the product-specific parameters provided.</w:t>
      </w:r>
    </w:p>
    <w:p>
      <w:pPr>
        <w:numPr>
          <w:ilvl w:val="0"/>
          <w:numId w:val="1013"/>
        </w:numPr>
        <w:pStyle w:val="Compact"/>
      </w:pPr>
      <w:r>
        <w:rPr>
          <w:bCs/>
          <w:b/>
        </w:rPr>
        <w:t xml:space="preserve">LSR Standard:</w:t>
      </w:r>
      <w:r>
        <w:t xml:space="preserve"> </w:t>
      </w:r>
      <w:r>
        <w:t xml:space="preserve">Application of the LSR Standard was conceptual. Full implementation requires detailed land-use change data linked to material sourcing, which was not available.</w:t>
      </w:r>
    </w:p>
    <w:bookmarkEnd w:id="35"/>
    <w:bookmarkStart w:id="38" w:name="recommendations-for-mmzowvptqd"/>
    <w:p>
      <w:pPr>
        <w:pStyle w:val="Heading3"/>
      </w:pPr>
      <w:r>
        <w:t xml:space="preserve">5.3. Recommendations for mmzowvptqd</w:t>
      </w:r>
    </w:p>
    <w:p>
      <w:pPr>
        <w:pStyle w:val="FirstParagraph"/>
      </w:pPr>
      <w:r>
        <w:t xml:space="preserve">To further reduce the PCF of lmnohovgpi and enhance the accuracy of future analyses, leltunigxz recommends:</w:t>
      </w:r>
    </w:p>
    <w:p>
      <w:pPr>
        <w:numPr>
          <w:ilvl w:val="0"/>
          <w:numId w:val="1014"/>
        </w:numPr>
        <w:pStyle w:val="Compact"/>
      </w:pPr>
      <w:r>
        <w:rPr>
          <w:bCs/>
          <w:b/>
        </w:rPr>
        <w:t xml:space="preserve">Product Design Optimization:</w:t>
      </w:r>
      <w:r>
        <w:t xml:space="preserve"> </w:t>
      </w:r>
      <w:r>
        <w:t xml:space="preserve">Focus on reducing energy consumption in the use phase and incorporating higher percentages of recycled content or lower-impact virgin materials, especially for components like Aluminium and batteries.</w:t>
      </w:r>
    </w:p>
    <w:p>
      <w:pPr>
        <w:numPr>
          <w:ilvl w:val="0"/>
          <w:numId w:val="1014"/>
        </w:numPr>
        <w:pStyle w:val="Compact"/>
      </w:pPr>
      <w:r>
        <w:rPr>
          <w:bCs/>
          <w:b/>
        </w:rPr>
        <w:t xml:space="preserve">Supply Chain Engagement:</w:t>
      </w:r>
      <w:r>
        <w:t xml:space="preserve"> </w:t>
      </w:r>
      <w:r>
        <w:t xml:space="preserve">Collaborate with suppliers to obtain primary data on material production and upstream transportation, and encourage their transition to renewable energy.</w:t>
      </w:r>
    </w:p>
    <w:p>
      <w:pPr>
        <w:numPr>
          <w:ilvl w:val="0"/>
          <w:numId w:val="1014"/>
        </w:numPr>
        <w:pStyle w:val="Compact"/>
      </w:pPr>
      <w:r>
        <w:rPr>
          <w:bCs/>
          <w:b/>
        </w:rPr>
        <w:t xml:space="preserve">Operational Efficiency:</w:t>
      </w:r>
      <w:r>
        <w:t xml:space="preserve"> </w:t>
      </w:r>
      <w:r>
        <w:t xml:space="preserve">Invest in energy efficiency measures and increase renewable energy procurement at the manufacturing facility in China.</w:t>
      </w:r>
    </w:p>
    <w:p>
      <w:pPr>
        <w:numPr>
          <w:ilvl w:val="0"/>
          <w:numId w:val="1014"/>
        </w:numPr>
        <w:pStyle w:val="Compact"/>
      </w:pPr>
      <w:r>
        <w:rPr>
          <w:bCs/>
          <w:b/>
        </w:rPr>
        <w:t xml:space="preserve">Logistics Review:</w:t>
      </w:r>
      <w:r>
        <w:t xml:space="preserve"> </w:t>
      </w:r>
      <w:r>
        <w:t xml:space="preserve">Explore opportunities for freight optimization, modal shifts to lower-emission alternatives where feasible, and consolidating shipments.</w:t>
      </w:r>
    </w:p>
    <w:p>
      <w:pPr>
        <w:numPr>
          <w:ilvl w:val="0"/>
          <w:numId w:val="1014"/>
        </w:numPr>
        <w:pStyle w:val="Compact"/>
      </w:pPr>
      <w:r>
        <w:rPr>
          <w:bCs/>
          <w:b/>
        </w:rPr>
        <w:t xml:space="preserve">Circular Economy Enhancement:</w:t>
      </w:r>
      <w:r>
        <w:t xml:space="preserve"> </w:t>
      </w:r>
      <w:r>
        <w:t xml:space="preserve">Continue to invest in and expand circular/take-back programs, and explore design for disassembly and repair to extend product lifespan.</w:t>
      </w:r>
    </w:p>
    <w:p>
      <w:pPr>
        <w:numPr>
          <w:ilvl w:val="0"/>
          <w:numId w:val="1014"/>
        </w:numPr>
        <w:pStyle w:val="Compact"/>
      </w:pPr>
      <w:r>
        <w:rPr>
          <w:bCs/>
          <w:b/>
        </w:rPr>
        <w:t xml:space="preserve">Data Collection:</w:t>
      </w:r>
      <w:r>
        <w:t xml:space="preserve"> </w:t>
      </w:r>
      <w:r>
        <w:t xml:space="preserve">Systematically collect primary data for all placeholder parameters and other relevant Scope 3 categories to meet and exceed the 95% coverage target for 2026 GHG Protocol reporting.</w:t>
      </w:r>
    </w:p>
    <w:p>
      <w:r>
        <w:pict>
          <v:rect style="width:0;height:1.5pt" o:hralign="center" o:hrstd="t" o:hr="t"/>
        </w:pict>
      </w:r>
    </w:p>
    <w:p>
      <w:pPr>
        <w:pStyle w:val="FirstParagraph"/>
      </w:pPr>
      <w:r>
        <w:t xml:space="preserve">Confidential - Internal Use Only | Page</w:t>
      </w:r>
      <w:r>
        <w:t xml:space="preserve"> </w:t>
      </w:r>
      <w:bookmarkStart w:id="36" w:name="pageNumber"/>
      <w:bookmarkEnd w:id="36"/>
      <w:r>
        <w:t xml:space="preserve"> </w:t>
      </w:r>
      <w:r>
        <w:t xml:space="preserve">of</w:t>
      </w:r>
      <w:r>
        <w:t xml:space="preserve"> </w:t>
      </w:r>
      <w:bookmarkStart w:id="37" w:name="totalPages"/>
      <w:bookmarkEnd w:id="37"/>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lmnohovgpi</dc:title>
  <dc:creator/>
  <dc:description>A high-detail Product Carbon Footprint (PCF) analysis for lmnohovgpi, adhering to GHG Protocol standards and incorporating 2026 LSR updates, prepared by Senior Sustainability Consultant leltunigxz for mmzowvptqd.</dc:description>
  <dc:language>en</dc:language>
  <cp:keywords/>
  <dcterms:created xsi:type="dcterms:W3CDTF">2026-07-15T00:21:13Z</dcterms:created>
  <dcterms:modified xsi:type="dcterms:W3CDTF">2026-07-15T00:21:13Z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