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lkrnsgtvjl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lkrnsgtvjl</w:t>
      </w:r>
    </w:p>
    <w:p>
      <w:pPr>
        <w:pStyle w:val="BodyText"/>
      </w:pPr>
      <w:r>
        <w:t xml:space="preserve">Company Name: uoedppkmlo</w:t>
      </w:r>
    </w:p>
    <w:p>
      <w:pPr>
        <w:pStyle w:val="BodyText"/>
      </w:pPr>
      <w:r>
        <w:t xml:space="preserve">Senior Sustainability Consultant: iorqkxvvmm</w:t>
      </w:r>
    </w:p>
    <w:p>
      <w:pPr>
        <w:pStyle w:val="BodyText"/>
      </w:pPr>
      <w:r>
        <w:t xml:space="preserve">Protocol Data (Accounting Standard): GHG Protocol</w:t>
      </w:r>
    </w:p>
    <w:p>
      <w:pPr>
        <w:pStyle w:val="BodyText"/>
      </w:pPr>
      <w:r>
        <w:t xml:space="preserve">This report is generated based on available data and industry standards, providing an estimate of the product\'s carbon footprint.</w:t>
      </w:r>
    </w:p>
    <w:bookmarkEnd w:id="20"/>
    <w:bookmarkStart w:id="42" w:name="X554a6a4df4a4f42d70eb7740fde9c3bd5414c93"/>
    <w:p>
      <w:pPr>
        <w:pStyle w:val="Heading1"/>
      </w:pPr>
      <w:r>
        <w:t xml:space="preserve">Product Carbon Footprint Analysis Report: lkrnsgtvjl</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"lkrnsgtvjl" manufactured by "uoedppkmlo." The analysis was performed by Senior Sustainability Consultant "iorqkxvvmm" and adheres strictly to the GHG Protocol Product Life Cycle Accounting and Reporting Standard. It incorporates the latest 2026 updates, including the Land Sector and Removals (LSR) Standard and aims for at least 95% coverage for Scope 3 emissions. The report covers the full lifecycle of the product from raw material acquisition to end-of-life, with a system boundary defined as "factory_gate" for production and a geographic scope focused on "China" for final production and "Europe" for the supply chain.</w:t>
      </w:r>
    </w:p>
    <w:p>
      <w:pPr>
        <w:pStyle w:val="BodyText"/>
      </w:pPr>
      <w:r>
        <w:t xml:space="preserve">The total estimated Product Carbon Footprint for one functional unit of "lkrnsgtvjl" is calculated to be</w:t>
      </w:r>
      <w:r>
        <w:t xml:space="preserve"> </w:t>
      </w:r>
      <w:r>
        <w:rPr>
          <w:bCs/>
          <w:b/>
        </w:rPr>
        <w:t xml:space="preserve">XX.XX kg CO2e</w:t>
      </w:r>
      <w:r>
        <w:t xml:space="preserve">. The primary emission hotspots are identified across material acquisition, production energy consumption, and product use phase, offering key areas for targeted reduction strategies.</w:t>
      </w:r>
    </w:p>
    <w:p>
      <w:r>
        <w:pict>
          <v:rect style="width:0;height:1.5pt" o:hralign="center" o:hrstd="t" o:hr="t"/>
        </w:pict>
      </w:r>
    </w:p>
    <w:bookmarkEnd w:id="21"/>
    <w:bookmarkStart w:id="26" w:name="methodology"/>
    <w:p>
      <w:pPr>
        <w:pStyle w:val="Heading2"/>
      </w:pPr>
      <w:r>
        <w:t xml:space="preserve">2. Methodology</w:t>
      </w:r>
    </w:p>
    <w:p>
      <w:pPr>
        <w:pStyle w:val="FirstParagraph"/>
      </w:pPr>
      <w:r>
        <w:t xml:space="preserve">The Product Carbon Footprint (PCF) for "lkrnsgtvjl" was calculated in accordance with the GHG Protocol Product Life Cycle Accounting and Reporting Standard. The methodology involves five key steps:</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reference unit for this PCF is 1.0 unit of "lkrnsgtvjl." This ensures consistency and comparability across the analysis.</w:t>
      </w:r>
    </w:p>
    <w:p>
      <w:pPr>
        <w:numPr>
          <w:ilvl w:val="0"/>
          <w:numId w:val="1001"/>
        </w:numPr>
        <w:pStyle w:val="Compact"/>
      </w:pPr>
      <w:r>
        <w:rPr>
          <w:bCs/>
          <w:b/>
        </w:rPr>
        <w:t xml:space="preserve">System Boundary:</w:t>
      </w:r>
      <w:r>
        <w:t xml:space="preserve"> </w:t>
      </w:r>
      <w:r>
        <w:t xml:space="preserve">A "cradle-to-grave" approach has been adopted, encompassing all stages from raw material extraction (cradle) through manufacturing, distribution, use, and end-of-life (grave). However, the specific boundary for direct operational control is defined as "factory_gate," meaning emissions up to the point the product leaves the manufacturing facility are covered under direct influence, while downstream emissions are calculated as Scope 3.</w:t>
      </w:r>
    </w:p>
    <w:p>
      <w:pPr>
        <w:numPr>
          <w:ilvl w:val="0"/>
          <w:numId w:val="1001"/>
        </w:numPr>
        <w:pStyle w:val="Compact"/>
      </w:pPr>
      <w:r>
        <w:rPr>
          <w:bCs/>
          <w:b/>
        </w:rPr>
        <w:t xml:space="preserve">Geographic Scope:</w:t>
      </w:r>
      <w:r>
        <w:t xml:space="preserve"> </w:t>
      </w:r>
      <w:r>
        <w:t xml:space="preserve">Final production occurs in China, with a broader supply chain focus on Europe. Emission factors and energy mixes are selected to reflect these geographical contexts where possible.</w:t>
      </w:r>
    </w:p>
    <w:p>
      <w:pPr>
        <w:numPr>
          <w:ilvl w:val="0"/>
          <w:numId w:val="1001"/>
        </w:numPr>
        <w:pStyle w:val="Compact"/>
      </w:pPr>
      <w:r>
        <w:rPr>
          <w:bCs/>
          <w:b/>
        </w:rPr>
        <w:t xml:space="preserve">Accounting Standard:</w:t>
      </w:r>
      <w:r>
        <w:t xml:space="preserve"> </w:t>
      </w:r>
      <w:r>
        <w:t xml:space="preserve">The GHG Protocol (Greenhouse Gas Protocol) is the primary accounting standard used, categorizing emissions into Scope 1 (direct emissions from owned or controlled sources),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(1.0 unit) of "lkrnsgtvjl" based on its specific material composition, energy consumption, and transport activities.</w:t>
      </w:r>
    </w:p>
    <w:bookmarkEnd w:id="22"/>
    <w:bookmarkStart w:id="23" w:name="map-lifecycle-lci-inventory-stages"/>
    <w:p>
      <w:pPr>
        <w:pStyle w:val="Heading3"/>
      </w:pPr>
      <w:r>
        <w:t xml:space="preserve">2.2. Map Lifecycle (LCI Inventory Stages)</w:t>
      </w:r>
    </w:p>
    <w:p>
      <w:pPr>
        <w:pStyle w:val="FirstParagraph"/>
      </w:pPr>
      <w:r>
        <w:t xml:space="preserve">The lifecycle of "lkrnsgtvjl" is mapped into the following stages to identify all relevant emission sources:</w:t>
      </w:r>
    </w:p>
    <w:p>
      <w:pPr>
        <w:numPr>
          <w:ilvl w:val="0"/>
          <w:numId w:val="1002"/>
        </w:numPr>
        <w:pStyle w:val="Compact"/>
      </w:pPr>
      <w:r>
        <w:rPr>
          <w:bCs/>
          <w:b/>
        </w:rPr>
        <w:t xml:space="preserve">Material Acquisition &amp; Pre-processing:</w:t>
      </w:r>
      <w:r>
        <w:t xml:space="preserve"> </w:t>
      </w:r>
      <w:r>
        <w:t xml:space="preserve">Extraction and processing of raw materials as detailed in the Bill of Materials (BOM).</w:t>
      </w:r>
    </w:p>
    <w:p>
      <w:pPr>
        <w:numPr>
          <w:ilvl w:val="0"/>
          <w:numId w:val="1002"/>
        </w:numPr>
        <w:pStyle w:val="Compact"/>
      </w:pPr>
      <w:r>
        <w:rPr>
          <w:bCs/>
          <w:b/>
        </w:rPr>
        <w:t xml:space="preserve">Manufacturing/Production:</w:t>
      </w:r>
      <w:r>
        <w:t xml:space="preserve"> </w:t>
      </w:r>
      <w:r>
        <w:t xml:space="preserve">Energy consumption during the assembly and processing of the product in the "uoedppkmlo" facility in China.</w:t>
      </w:r>
    </w:p>
    <w:p>
      <w:pPr>
        <w:numPr>
          <w:ilvl w:val="0"/>
          <w:numId w:val="1002"/>
        </w:numPr>
        <w:pStyle w:val="Compact"/>
      </w:pPr>
      <w:r>
        <w:rPr>
          <w:bCs/>
          <w:b/>
        </w:rPr>
        <w:t xml:space="preserve">Distribution &amp; Logistics:</w:t>
      </w:r>
      <w:r>
        <w:t xml:space="preserve"> </w:t>
      </w:r>
      <w:r>
        <w:t xml:space="preserve">Transportation of raw materials to the factory and the finished product to the customer.</w:t>
      </w:r>
    </w:p>
    <w:p>
      <w:pPr>
        <w:numPr>
          <w:ilvl w:val="0"/>
          <w:numId w:val="1002"/>
        </w:numPr>
        <w:pStyle w:val="Compact"/>
      </w:pPr>
      <w:r>
        <w:rPr>
          <w:bCs/>
          <w:b/>
        </w:rPr>
        <w:t xml:space="preserve">Use Phase:</w:t>
      </w:r>
      <w:r>
        <w:t xml:space="preserve"> </w:t>
      </w:r>
      <w:r>
        <w:t xml:space="preserve">Energy consumption by the product during its expected lifespan by the end-user.</w:t>
      </w:r>
    </w:p>
    <w:p>
      <w:pPr>
        <w:numPr>
          <w:ilvl w:val="0"/>
          <w:numId w:val="1002"/>
        </w:numPr>
        <w:pStyle w:val="Compact"/>
      </w:pPr>
      <w:r>
        <w:rPr>
          <w:bCs/>
          <w:b/>
        </w:rPr>
        <w:t xml:space="preserve">End-of-Life (EoL):</w:t>
      </w:r>
      <w:r>
        <w:t xml:space="preserve"> </w:t>
      </w:r>
      <w:r>
        <w:t xml:space="preserve">Emissions associated with the disposal and treatment of the product at the end of its useful life, including recycling and landfill.</w:t>
      </w:r>
    </w:p>
    <w:bookmarkEnd w:id="23"/>
    <w:bookmarkStart w:id="24" w:name="collect-data"/>
    <w:p>
      <w:pPr>
        <w:pStyle w:val="Heading3"/>
      </w:pPr>
      <w:r>
        <w:t xml:space="preserve">2.3. Collect Data</w:t>
      </w:r>
    </w:p>
    <w:p>
      <w:pPr>
        <w:pStyle w:val="FirstParagraph"/>
      </w:pPr>
      <w:r>
        <w:t xml:space="preserve">Both primary and secondary data points were collected for this analysis.</w:t>
      </w:r>
    </w:p>
    <w:p>
      <w:pPr>
        <w:numPr>
          <w:ilvl w:val="0"/>
          <w:numId w:val="1003"/>
        </w:numPr>
      </w:pPr>
      <w:r>
        <w:rPr>
          <w:bCs/>
          <w:b/>
        </w:rPr>
        <w:t xml:space="preserve">Detailed Bill of Materials (BOM):</w:t>
      </w:r>
      <w:r>
        <w:t xml:space="preserve"> </w:t>
      </w:r>
      <w:r>
        <w:t xml:space="preserve">The provided BOM (tdehnvnv) serves as primary data for material quantities and their associated carbon footprints.</w:t>
      </w:r>
    </w:p>
    <w:p>
      <w:pPr>
        <w:numPr>
          <w:ilvl w:val="0"/>
          <w:numId w:val="1000"/>
        </w:numPr>
      </w:pPr>
      <w:r>
        <w:rPr>
          <w:iCs/>
          <w:i/>
        </w:rPr>
        <w:t xml:space="preserve">(Note: The string "tdehnvnv" is a placeholder in the prompt; for the purpose of this report, illustrative BOM data has been generated based on the specified format: ID, Description, Category, Process, Qty, Unit, Emission Factor, Total Carbon.)</w:t>
      </w:r>
    </w:p>
    <w:p>
      <w:pPr>
        <w:numPr>
          <w:ilvl w:val="0"/>
          <w:numId w:val="1003"/>
        </w:numPr>
        <w:pStyle w:val="Compact"/>
      </w:pPr>
      <w:r>
        <w:rPr>
          <w:bCs/>
          <w:b/>
        </w:rPr>
        <w:t xml:space="preserve">Production Energy Data:</w:t>
      </w:r>
      <w:r>
        <w:t xml:space="preserve"> </w:t>
      </w:r>
      <w:r>
        <w:t xml:space="preserve">Specific data on energy intensity (nnwnhmgvxe) and renewable energy usage (niuwfvizno) were incorporated for the production phase.</w:t>
      </w:r>
    </w:p>
    <w:p>
      <w:pPr>
        <w:numPr>
          <w:ilvl w:val="0"/>
          <w:numId w:val="1003"/>
        </w:numPr>
      </w:pPr>
      <w:r>
        <w:rPr>
          <w:bCs/>
          <w:b/>
        </w:rPr>
        <w:t xml:space="preserve">Transport Logistics Data:</w:t>
      </w:r>
      <w:r>
        <w:t xml:space="preserve"> </w:t>
      </w:r>
      <w:r>
        <w:t xml:space="preserve">Specific details on transport mode (Select Mode), distance (lorkjunvwo), and last-mile delivery channel (Delivery Type) were used.</w:t>
      </w:r>
    </w:p>
    <w:p>
      <w:pPr>
        <w:numPr>
          <w:ilvl w:val="0"/>
          <w:numId w:val="1000"/>
        </w:numPr>
      </w:pPr>
      <w:r>
        <w:rPr>
          <w:iCs/>
          <w:i/>
        </w:rPr>
        <w:t xml:space="preserve">(Note: The strings "Select Mode", "lorkjunvwo", and "Delivery Type" are placeholders in the prompt; for calculation purposes, illustrative transport modes, distances, and an average product weight derived from the BOM have been assumed.)</w:t>
      </w:r>
    </w:p>
    <w:p>
      <w:pPr>
        <w:numPr>
          <w:ilvl w:val="0"/>
          <w:numId w:val="1003"/>
        </w:numPr>
      </w:pPr>
      <w:r>
        <w:rPr>
          <w:bCs/>
          <w:b/>
        </w:rPr>
        <w:t xml:space="preserve">Use Phase Data:</w:t>
      </w:r>
      <w:r>
        <w:t xml:space="preserve"> </w:t>
      </w:r>
      <w:r>
        <w:t xml:space="preserve">Product lifespan (iwftylygdg) and energy consumption in use (ghzodepwtl) were incorporated.</w:t>
      </w:r>
    </w:p>
    <w:p>
      <w:pPr>
        <w:numPr>
          <w:ilvl w:val="0"/>
          <w:numId w:val="1000"/>
        </w:numPr>
      </w:pPr>
      <w:r>
        <w:rPr>
          <w:iCs/>
          <w:i/>
        </w:rPr>
        <w:t xml:space="preserve">(Note: "iwftylygdg" and "ghzodepwtl" are placeholders; illustrative values have been assumed for calculation.)</w:t>
      </w:r>
    </w:p>
    <w:p>
      <w:pPr>
        <w:numPr>
          <w:ilvl w:val="0"/>
          <w:numId w:val="1003"/>
        </w:numPr>
      </w:pPr>
      <w:r>
        <w:rPr>
          <w:bCs/>
          <w:b/>
        </w:rPr>
        <w:t xml:space="preserve">End-of-Life Scenarios:</w:t>
      </w:r>
      <w:r>
        <w:t xml:space="preserve"> </w:t>
      </w:r>
      <w:r>
        <w:t xml:space="preserve">Recyclability percentage (ogzqzmqrmw) and details on circular/take-back programs (txwhlpfpgr) were included.</w:t>
      </w:r>
    </w:p>
    <w:p>
      <w:pPr>
        <w:numPr>
          <w:ilvl w:val="0"/>
          <w:numId w:val="1000"/>
        </w:numPr>
      </w:pPr>
      <w:r>
        <w:rPr>
          <w:iCs/>
          <w:i/>
        </w:rPr>
        <w:t xml:space="preserve">(Note: "ogzqzmqrmw" and "txwhlpfpgr" are placeholders; illustrative values and program details have been assumed.)</w:t>
      </w:r>
    </w:p>
    <w:p>
      <w:pPr>
        <w:numPr>
          <w:ilvl w:val="0"/>
          <w:numId w:val="1003"/>
        </w:numPr>
        <w:pStyle w:val="Compact"/>
      </w:pPr>
      <w:r>
        <w:rPr>
          <w:bCs/>
          <w:b/>
        </w:rPr>
        <w:t xml:space="preserve">Emission Factors:</w:t>
      </w:r>
      <w:r>
        <w:t xml:space="preserve"> </w:t>
      </w:r>
      <w:r>
        <w:t xml:space="preserve">Industry-standard emission factors, drawing from reputable databases such as Ecoinvent/DEFRA equivalents, were used for generic processes, energy, and transport where primary data was unavailable or placeholder values required illustrative calculations.</w:t>
      </w:r>
    </w:p>
    <w:bookmarkEnd w:id="24"/>
    <w:bookmarkStart w:id="25" w:name="ghg-protocol-adherence-2026-updates"/>
    <w:p>
      <w:pPr>
        <w:pStyle w:val="Heading3"/>
      </w:pPr>
      <w:r>
        <w:t xml:space="preserve">2.4. GHG Protocol Adherence &amp; 2026 Updates</w:t>
      </w:r>
    </w:p>
    <w:p>
      <w:pPr>
        <w:numPr>
          <w:ilvl w:val="0"/>
          <w:numId w:val="1004"/>
        </w:numPr>
        <w:pStyle w:val="Compact"/>
      </w:pPr>
      <w:r>
        <w:rPr>
          <w:bCs/>
          <w:b/>
        </w:rPr>
        <w:t xml:space="preserve">Scope Categorization:</w:t>
      </w:r>
      <w:r>
        <w:t xml:space="preserve"> </w:t>
      </w:r>
      <w:r>
        <w:t xml:space="preserve">Emissions are categorized into Scope 1 (direct from operations), Scope 2 (from purchased electricity), and Scope 3 (all indirect value chain emissions, including upstream materials, transport, and downstream use/EoL).</w:t>
      </w:r>
    </w:p>
    <w:p>
      <w:pPr>
        <w:numPr>
          <w:ilvl w:val="0"/>
          <w:numId w:val="1004"/>
        </w:numPr>
        <w:pStyle w:val="Compact"/>
      </w:pPr>
      <w:r>
        <w:rPr>
          <w:bCs/>
          <w:b/>
        </w:rPr>
        <w:t xml:space="preserve">2026 LSR Update:</w:t>
      </w:r>
      <w:r>
        <w:t xml:space="preserve"> </w:t>
      </w:r>
      <w:r>
        <w:t xml:space="preserve">The Land Sector and Removals (LSR) Standard (effective January 1, 2027) is acknowledged. While this PCF focuses on manufactured goods, the LSR Standard provides a framework for accounting for land use and carbon removals, particularly relevant for upstream agricultural or bio-based materials. For this PCF, direct land-use emissions are considered embedded within the material emission factors provided in the BOM or assumed to be negligible for specific components unless otherwise specified. Companies with significant land-based activities should prepare for its full implementation and forthcoming guidance.</w:t>
      </w:r>
    </w:p>
    <w:p>
      <w:pPr>
        <w:numPr>
          <w:ilvl w:val="0"/>
          <w:numId w:val="1004"/>
        </w:numPr>
        <w:pStyle w:val="Compact"/>
      </w:pPr>
      <w:r>
        <w:rPr>
          <w:bCs/>
          <w:b/>
        </w:rPr>
        <w:t xml:space="preserve">Scope 3 Compliance (95% Coverage):</w:t>
      </w:r>
      <w:r>
        <w:t xml:space="preserve"> </w:t>
      </w:r>
      <w:r>
        <w:t xml:space="preserve">In line with 2026 GHG Protocol requirements, at least 95% coverage for Scope 3 emissions is ensured by comprehensively analyzing all major upstream and downstream categories. This means quantifying all required Scope 3 sources before any exclusions, and justifying any exclusions which should not exceed 5%.</w:t>
      </w:r>
    </w:p>
    <w:p>
      <w:r>
        <w:pict>
          <v:rect style="width:0;height:1.5pt" o:hralign="center" o:hrstd="t" o:hr="t"/>
        </w:pict>
      </w:r>
    </w:p>
    <w:bookmarkEnd w:id="25"/>
    <w:bookmarkEnd w:id="26"/>
    <w:bookmarkStart w:id="35" w:name="detailed-data-breakdown-and-calculations"/>
    <w:p>
      <w:pPr>
        <w:pStyle w:val="Heading2"/>
      </w:pPr>
      <w:r>
        <w:t xml:space="preserve">3. Detailed Data Breakdown and Calculations</w:t>
      </w:r>
    </w:p>
    <w:p>
      <w:pPr>
        <w:pStyle w:val="FirstParagraph"/>
      </w:pPr>
      <w:r>
        <w:t xml:space="preserve">For illustrative purposes and to demonstrate the methodology, specific numerical values have been assumed for the placeholder parameters provided in the prompt. These assumptions are explicitly stated below.</w:t>
      </w:r>
    </w:p>
    <w:bookmarkStart w:id="27" w:name="assumed-parameters-for-calculation"/>
    <w:p>
      <w:pPr>
        <w:pStyle w:val="Heading3"/>
      </w:pPr>
      <w:r>
        <w:t xml:space="preserve">3.1. Assumed Parameters for Calculation:</w:t>
      </w:r>
    </w:p>
    <w:p>
      <w:pPr>
        <w:numPr>
          <w:ilvl w:val="0"/>
          <w:numId w:val="1005"/>
        </w:numPr>
        <w:pStyle w:val="Compact"/>
      </w:pPr>
      <w:r>
        <w:rPr>
          <w:bCs/>
          <w:b/>
        </w:rPr>
        <w:t xml:space="preserve">Detailed Bill of Materials (BOM) (tdehnvnv):</w:t>
      </w:r>
    </w:p>
    <w:p>
      <w:pPr>
        <w:numPr>
          <w:ilvl w:val="1"/>
          <w:numId w:val="1006"/>
        </w:numPr>
        <w:pStyle w:val="Compact"/>
      </w:pPr>
      <w:r>
        <w:t xml:space="preserve">Item 1: 001, Aluminum Frame, Metal, Extrusion, 2.5 kg, 12.0 kg CO2e/kg, 30.0 kg CO2e</w:t>
      </w:r>
    </w:p>
    <w:p>
      <w:pPr>
        <w:numPr>
          <w:ilvl w:val="1"/>
          <w:numId w:val="1006"/>
        </w:numPr>
        <w:pStyle w:val="Compact"/>
      </w:pPr>
      <w:r>
        <w:t xml:space="preserve">Item 2: 002, Plastic Housing, Polymer, Injection Molding, 1.2 kg, 3.5 kg CO2e/kg, 4.2 kg CO2e</w:t>
      </w:r>
    </w:p>
    <w:p>
      <w:pPr>
        <w:numPr>
          <w:ilvl w:val="1"/>
          <w:numId w:val="1006"/>
        </w:numPr>
        <w:pStyle w:val="Compact"/>
      </w:pPr>
      <w:r>
        <w:t xml:space="preserve">Item 3: 003, Circuit Board, Electronics, Assembly, 0.1 kg, 50.0 kg CO2e/kg, 5.0 kg CO2e</w:t>
      </w:r>
    </w:p>
    <w:p>
      <w:pPr>
        <w:numPr>
          <w:ilvl w:val="1"/>
          <w:numId w:val="1006"/>
        </w:numPr>
        <w:pStyle w:val="Compact"/>
      </w:pPr>
      <w:r>
        <w:t xml:space="preserve">Item 4: 004, Packaging (Cardboard), Paper/Board, Converting, 0.5 kg, 1.5 kg CO2e/kg, 0.75 kg CO2e</w:t>
      </w:r>
    </w:p>
    <w:p>
      <w:pPr>
        <w:numPr>
          <w:ilvl w:val="0"/>
          <w:numId w:val="1005"/>
        </w:numPr>
        <w:pStyle w:val="Compact"/>
      </w:pPr>
      <w:r>
        <w:rPr>
          <w:bCs/>
          <w:b/>
        </w:rPr>
        <w:t xml:space="preserve">Total Product Weight (from BOM):</w:t>
      </w:r>
      <w:r>
        <w:t xml:space="preserve"> </w:t>
      </w:r>
      <w:r>
        <w:t xml:space="preserve">2.5 + 1.2 + 0.1 + 0.5 = 4.3 kg</w:t>
      </w:r>
    </w:p>
    <w:p>
      <w:pPr>
        <w:numPr>
          <w:ilvl w:val="0"/>
          <w:numId w:val="1005"/>
        </w:numPr>
        <w:pStyle w:val="Compact"/>
      </w:pPr>
      <w:r>
        <w:rPr>
          <w:bCs/>
          <w:b/>
        </w:rPr>
        <w:t xml:space="preserve">Transport Mode:</w:t>
      </w:r>
      <w:r>
        <w:t xml:space="preserve"> </w:t>
      </w:r>
      <w:r>
        <w:t xml:space="preserve">Primary inbound transport: Ocean Freight. Outbound transport: Road Freight (HGV for bulk, Van for last-mile).</w:t>
      </w:r>
    </w:p>
    <w:p>
      <w:pPr>
        <w:numPr>
          <w:ilvl w:val="0"/>
          <w:numId w:val="1005"/>
        </w:numPr>
        <w:pStyle w:val="Compact"/>
      </w:pPr>
      <w:r>
        <w:rPr>
          <w:bCs/>
          <w:b/>
        </w:rPr>
        <w:t xml:space="preserve">Transport Distance:</w:t>
      </w:r>
      <w:r>
        <w:t xml:space="preserve"> </w:t>
      </w:r>
      <w:r>
        <w:t xml:space="preserve">15,000 km (Ocean Freight, Asia to Europe for materials/components); 500 km (Road Freight HGV for finished product to distribution center); 50 km (Road Freight Van for last-mile delivery).</w:t>
      </w:r>
    </w:p>
    <w:p>
      <w:pPr>
        <w:numPr>
          <w:ilvl w:val="0"/>
          <w:numId w:val="1005"/>
        </w:numPr>
        <w:pStyle w:val="Compact"/>
      </w:pPr>
      <w:r>
        <w:rPr>
          <w:bCs/>
          <w:b/>
        </w:rPr>
        <w:t xml:space="preserve">Last-Mile Delivery Channel:</w:t>
      </w:r>
      <w:r>
        <w:t xml:space="preserve"> </w:t>
      </w:r>
      <w:r>
        <w:t xml:space="preserve">Road Freight (Van).</w:t>
      </w:r>
    </w:p>
    <w:p>
      <w:pPr>
        <w:numPr>
          <w:ilvl w:val="0"/>
          <w:numId w:val="1005"/>
        </w:numPr>
        <w:pStyle w:val="Compact"/>
      </w:pPr>
      <w:r>
        <w:rPr>
          <w:bCs/>
          <w:b/>
        </w:rPr>
        <w:t xml:space="preserve">Renewable Energy Usage (niuwfvizno):</w:t>
      </w:r>
      <w:r>
        <w:t xml:space="preserve"> </w:t>
      </w:r>
      <w:r>
        <w:t xml:space="preserve">75% for uoedppkmlo\'s production facility.</w:t>
      </w:r>
    </w:p>
    <w:p>
      <w:pPr>
        <w:numPr>
          <w:ilvl w:val="0"/>
          <w:numId w:val="1005"/>
        </w:numPr>
        <w:pStyle w:val="Compact"/>
      </w:pPr>
      <w:r>
        <w:rPr>
          <w:bCs/>
          <w:b/>
        </w:rPr>
        <w:t xml:space="preserve">Energy Intensity (kWh/unit) (nnwnhmgvxe):</w:t>
      </w:r>
      <w:r>
        <w:t xml:space="preserve"> </w:t>
      </w:r>
      <w:r>
        <w:t xml:space="preserve">15 kWh/unit.</w:t>
      </w:r>
    </w:p>
    <w:p>
      <w:pPr>
        <w:numPr>
          <w:ilvl w:val="0"/>
          <w:numId w:val="1005"/>
        </w:numPr>
        <w:pStyle w:val="Compact"/>
      </w:pPr>
      <w:r>
        <w:rPr>
          <w:bCs/>
          <w:b/>
        </w:rPr>
        <w:t xml:space="preserve">Product Lifespan (iwftylygdg):</w:t>
      </w:r>
      <w:r>
        <w:t xml:space="preserve"> </w:t>
      </w:r>
      <w:r>
        <w:t xml:space="preserve">5 years.</w:t>
      </w:r>
    </w:p>
    <w:p>
      <w:pPr>
        <w:numPr>
          <w:ilvl w:val="0"/>
          <w:numId w:val="1005"/>
        </w:numPr>
        <w:pStyle w:val="Compact"/>
      </w:pPr>
      <w:r>
        <w:rPr>
          <w:bCs/>
          <w:b/>
        </w:rPr>
        <w:t xml:space="preserve">Energy Consumption in Use (ghzodepwtl):</w:t>
      </w:r>
      <w:r>
        <w:t xml:space="preserve"> </w:t>
      </w:r>
      <w:r>
        <w:t xml:space="preserve">10 kWh/year.</w:t>
      </w:r>
    </w:p>
    <w:p>
      <w:pPr>
        <w:numPr>
          <w:ilvl w:val="0"/>
          <w:numId w:val="1005"/>
        </w:numPr>
        <w:pStyle w:val="Compact"/>
      </w:pPr>
      <w:r>
        <w:rPr>
          <w:bCs/>
          <w:b/>
        </w:rPr>
        <w:t xml:space="preserve">Recyclability Percentage (ogzqzmqrmw):</w:t>
      </w:r>
      <w:r>
        <w:t xml:space="preserve"> </w:t>
      </w:r>
      <w:r>
        <w:t xml:space="preserve">80%.</w:t>
      </w:r>
    </w:p>
    <w:p>
      <w:pPr>
        <w:numPr>
          <w:ilvl w:val="0"/>
          <w:numId w:val="1005"/>
        </w:numPr>
        <w:pStyle w:val="Compact"/>
      </w:pPr>
      <w:r>
        <w:rPr>
          <w:bCs/>
          <w:b/>
        </w:rPr>
        <w:t xml:space="preserve">Circular/Take-back Programs (txwhlpfpgr):</w:t>
      </w:r>
      <w:r>
        <w:t xml:space="preserve"> </w:t>
      </w:r>
      <w:r>
        <w:t xml:space="preserve">Active take-back program with material recovery.</w:t>
      </w:r>
    </w:p>
    <w:bookmarkEnd w:id="27"/>
    <w:bookmarkStart w:id="28" w:name="X5afea9d8d25e786222160db9c621553043ce981"/>
    <w:p>
      <w:pPr>
        <w:pStyle w:val="Heading3"/>
      </w:pPr>
      <w:r>
        <w:t xml:space="preserve">3.2. Emission Factors Used (Illustrative &amp; Industry-Standard Equivalent):</w:t>
      </w:r>
    </w:p>
    <w:p>
      <w:pPr>
        <w:numPr>
          <w:ilvl w:val="0"/>
          <w:numId w:val="1007"/>
        </w:numPr>
        <w:pStyle w:val="Compact"/>
      </w:pPr>
      <w:r>
        <w:rPr>
          <w:bCs/>
          <w:b/>
        </w:rPr>
        <w:t xml:space="preserve">China Grid Electricity (Production):</w:t>
      </w:r>
      <w:r>
        <w:t xml:space="preserve"> </w:t>
      </w:r>
      <w:r>
        <w:t xml:space="preserve">0.505 kg CO2e/kWh (IEA forecast for 2026, approx. 505 g CO2/kWh for China).</w:t>
      </w:r>
    </w:p>
    <w:p>
      <w:pPr>
        <w:numPr>
          <w:ilvl w:val="0"/>
          <w:numId w:val="1007"/>
        </w:numPr>
        <w:pStyle w:val="Compact"/>
      </w:pPr>
      <w:r>
        <w:rPr>
          <w:bCs/>
          <w:b/>
        </w:rPr>
        <w:t xml:space="preserve">European Grid Electricity (Use Phase):</w:t>
      </w:r>
      <w:r>
        <w:t xml:space="preserve"> </w:t>
      </w:r>
      <w:r>
        <w:t xml:space="preserve">0.25 kg CO2e/kWh (Illustrative average for European grid mix for consumer use).</w:t>
      </w:r>
    </w:p>
    <w:p>
      <w:pPr>
        <w:numPr>
          <w:ilvl w:val="0"/>
          <w:numId w:val="1007"/>
        </w:numPr>
        <w:pStyle w:val="Compact"/>
      </w:pPr>
      <w:r>
        <w:rPr>
          <w:bCs/>
          <w:b/>
        </w:rPr>
        <w:t xml:space="preserve">Ocean Freight (Container Ship):</w:t>
      </w:r>
      <w:r>
        <w:t xml:space="preserve"> </w:t>
      </w:r>
      <w:r>
        <w:t xml:space="preserve">0.016 kg CO2e/tkm (DEFRA 2025 equivalent for container ships).</w:t>
      </w:r>
    </w:p>
    <w:p>
      <w:pPr>
        <w:numPr>
          <w:ilvl w:val="0"/>
          <w:numId w:val="1007"/>
        </w:numPr>
        <w:pStyle w:val="Compact"/>
      </w:pPr>
      <w:r>
        <w:rPr>
          <w:bCs/>
          <w:b/>
        </w:rPr>
        <w:t xml:space="preserve">Road Freight (HGV, &gt;16t):</w:t>
      </w:r>
      <w:r>
        <w:t xml:space="preserve"> </w:t>
      </w:r>
      <w:r>
        <w:t xml:space="preserve">0.0565 kg CO2e/tkm (European average for Heavy Goods Vehicles).</w:t>
      </w:r>
    </w:p>
    <w:p>
      <w:pPr>
        <w:numPr>
          <w:ilvl w:val="0"/>
          <w:numId w:val="1007"/>
        </w:numPr>
        <w:pStyle w:val="Compact"/>
      </w:pPr>
      <w:r>
        <w:rPr>
          <w:bCs/>
          <w:b/>
        </w:rPr>
        <w:t xml:space="preserve">Road Freight (Van/Last-Mile):</w:t>
      </w:r>
      <w:r>
        <w:t xml:space="preserve"> </w:t>
      </w:r>
      <w:r>
        <w:t xml:space="preserve">0.1 kg CO2e/tkm (Illustrative factor for smaller delivery vehicles).</w:t>
      </w:r>
    </w:p>
    <w:p>
      <w:pPr>
        <w:numPr>
          <w:ilvl w:val="0"/>
          <w:numId w:val="1007"/>
        </w:numPr>
        <w:pStyle w:val="Compact"/>
      </w:pPr>
      <w:r>
        <w:rPr>
          <w:bCs/>
          <w:b/>
        </w:rPr>
        <w:t xml:space="preserve">End-of-Life (Recycling Process):</w:t>
      </w:r>
      <w:r>
        <w:t xml:space="preserve"> </w:t>
      </w:r>
      <w:r>
        <w:t xml:space="preserve">0.02 kg CO2e/kg (for collection and processing).</w:t>
      </w:r>
    </w:p>
    <w:p>
      <w:pPr>
        <w:numPr>
          <w:ilvl w:val="0"/>
          <w:numId w:val="1007"/>
        </w:numPr>
        <w:pStyle w:val="Compact"/>
      </w:pPr>
      <w:r>
        <w:rPr>
          <w:bCs/>
          <w:b/>
        </w:rPr>
        <w:t xml:space="preserve">End-of-Life (Landfill):</w:t>
      </w:r>
      <w:r>
        <w:t xml:space="preserve"> </w:t>
      </w:r>
      <w:r>
        <w:t xml:space="preserve">0.033 kg CO2e/kg (for plastic, used as a general waste factor).</w:t>
      </w:r>
    </w:p>
    <w:bookmarkEnd w:id="28"/>
    <w:bookmarkStart w:id="34" w:name="emissions-calculation-by-lifecycle-stage"/>
    <w:p>
      <w:pPr>
        <w:pStyle w:val="Heading3"/>
      </w:pPr>
      <w:r>
        <w:t xml:space="preserve">3.3. Emissions Calculation by Lifecycle Stage</w:t>
      </w:r>
    </w:p>
    <w:bookmarkStart w:id="29" w:name="Xa124a95b981c370289279a4b723120ad8e79cc2"/>
    <w:p>
      <w:pPr>
        <w:pStyle w:val="Heading4"/>
      </w:pPr>
      <w:r>
        <w:t xml:space="preserve">3.3.1. Materials Acquisition &amp; Pre-processing (Scope 3 - Upstream)</w:t>
      </w:r>
    </w:p>
    <w:p>
      <w:pPr>
        <w:pStyle w:val="FirstParagraph"/>
      </w:pPr>
      <w:r>
        <w:t xml:space="preserve">The total carbon from raw material acquisition is directly taken from the \'Total Carbon\' field of the provided BOM data, which already accounts for the material\'s emission factor and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12.0</w:t>
            </w:r>
          </w:p>
        </w:tc>
        <w:tc>
          <w:tcPr/>
          <w:p>
            <w:pPr>
              <w:pStyle w:val="Compact"/>
              <w:jc w:val="left"/>
            </w:pPr>
            <w:r>
              <w:t xml:space="preserve">30.0</w:t>
            </w:r>
          </w:p>
        </w:tc>
      </w:tr>
      <w:tr>
        <w:tc>
          <w:tcPr/>
          <w:p>
            <w:pPr>
              <w:pStyle w:val="Compact"/>
              <w:jc w:val="left"/>
            </w:pPr>
            <w:r>
              <w:t xml:space="preserve">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r>
        <w:tc>
          <w:tcPr>
            <w:gridSpan w:val="7"/>
          </w:tcPr>
          <w:p>
            <w:pPr>
              <w:pStyle w:val="Compact"/>
              <w:jc w:val="left"/>
            </w:pPr>
            <w:r>
              <w:rPr>
                <w:bCs/>
                <w:b/>
              </w:rPr>
              <w:t xml:space="preserve">Total Material Emissions</w:t>
            </w:r>
          </w:p>
        </w:tc>
        <w:tc>
          <w:tcPr/>
          <w:p>
            <w:pPr>
              <w:pStyle w:val="Compact"/>
              <w:jc w:val="left"/>
            </w:pPr>
            <w:r>
              <w:rPr>
                <w:bCs/>
                <w:b/>
              </w:rPr>
              <w:t xml:space="preserve">39.95 kg CO2e</w:t>
            </w:r>
          </w:p>
        </w:tc>
      </w:tr>
    </w:tbl>
    <w:bookmarkEnd w:id="29"/>
    <w:bookmarkStart w:id="30" w:name="Xef05e4511ad01d3908f681dbb06ba24b58f1b66"/>
    <w:p>
      <w:pPr>
        <w:pStyle w:val="Heading4"/>
      </w:pPr>
      <w:r>
        <w:t xml:space="preserve">3.3.2. Production Phase (Scope 2 - Purchased Electricity)</w:t>
      </w:r>
    </w:p>
    <w:p>
      <w:pPr>
        <w:pStyle w:val="FirstParagraph"/>
      </w:pPr>
      <w:r>
        <w:t xml:space="preserve">The production facility in China utilizes both renewable and grid electricity.</w:t>
      </w:r>
    </w:p>
    <w:p>
      <w:pPr>
        <w:numPr>
          <w:ilvl w:val="0"/>
          <w:numId w:val="1008"/>
        </w:numPr>
        <w:pStyle w:val="Compact"/>
      </w:pPr>
      <w:r>
        <w:t xml:space="preserve">Energy Intensity: 15 kWh/unit</w:t>
      </w:r>
    </w:p>
    <w:p>
      <w:pPr>
        <w:numPr>
          <w:ilvl w:val="0"/>
          <w:numId w:val="1008"/>
        </w:numPr>
        <w:pStyle w:val="Compact"/>
      </w:pPr>
      <w:r>
        <w:t xml:space="preserve">Renewable Energy Usage: 75%</w:t>
      </w:r>
    </w:p>
    <w:p>
      <w:pPr>
        <w:numPr>
          <w:ilvl w:val="0"/>
          <w:numId w:val="1008"/>
        </w:numPr>
        <w:pStyle w:val="Compact"/>
      </w:pPr>
      <w:r>
        <w:t xml:space="preserve">Non-Renewable Energy Usage: 100% - 75% = 25%</w:t>
      </w:r>
    </w:p>
    <w:p>
      <w:pPr>
        <w:numPr>
          <w:ilvl w:val="0"/>
          <w:numId w:val="1008"/>
        </w:numPr>
        <w:pStyle w:val="Compact"/>
      </w:pPr>
      <w:r>
        <w:t xml:space="preserve">Non-Renewable Energy Consumed: 15 kWh/unit * 0.25 = 3.75 kWh/unit</w:t>
      </w:r>
    </w:p>
    <w:p>
      <w:pPr>
        <w:numPr>
          <w:ilvl w:val="0"/>
          <w:numId w:val="1008"/>
        </w:numPr>
        <w:pStyle w:val="Compact"/>
      </w:pPr>
      <w:r>
        <w:t xml:space="preserve">China Grid Electricity Emission Factor: 0.505 kg CO2e/kWh</w:t>
      </w:r>
    </w:p>
    <w:p>
      <w:pPr>
        <w:numPr>
          <w:ilvl w:val="0"/>
          <w:numId w:val="1008"/>
        </w:numPr>
        <w:pStyle w:val="Compact"/>
      </w:pPr>
      <w:r>
        <w:rPr>
          <w:bCs/>
          <w:b/>
        </w:rPr>
        <w:t xml:space="preserve">Production Emissions (Scope 2):</w:t>
      </w:r>
      <w:r>
        <w:t xml:space="preserve"> </w:t>
      </w:r>
      <w:r>
        <w:t xml:space="preserve">3.75 kWh/unit * 0.505 kg CO2e/kWh =</w:t>
      </w:r>
      <w:r>
        <w:t xml:space="preserve"> </w:t>
      </w:r>
      <w:r>
        <w:rPr>
          <w:bCs/>
          <w:b/>
        </w:rPr>
        <w:t xml:space="preserve">1.89 kg CO2e</w:t>
      </w:r>
    </w:p>
    <w:p>
      <w:pPr>
        <w:pStyle w:val="FirstParagraph"/>
      </w:pPr>
      <w:r>
        <w:rPr>
          <w:iCs/>
          <w:i/>
        </w:rPr>
        <w:t xml:space="preserve">(Note: Assuming Scope 1 direct emissions from manufacturing processes (e.g., on-site fuel combustion) are negligible or included in the material\'s \'Process\' if applicable, otherwise would be reported separately. For this PCF, the focus for production is on purchased electricity.)</w:t>
      </w:r>
    </w:p>
    <w:bookmarkEnd w:id="30"/>
    <w:bookmarkStart w:id="31" w:name="X4dabd6b06aad5bf6fec1afd06e40f71bc06520c"/>
    <w:p>
      <w:pPr>
        <w:pStyle w:val="Heading4"/>
      </w:pPr>
      <w:r>
        <w:t xml:space="preserve">3.3.3. Distribution &amp; Logistics (Scope 3 - Upstream &amp; Downstream)</w:t>
      </w:r>
    </w:p>
    <w:p>
      <w:pPr>
        <w:pStyle w:val="FirstParagraph"/>
      </w:pPr>
      <w:r>
        <w:t xml:space="preserve">Transport emissions are calculated based on the assumed product weight (4.3 kg = 0.0043 tonnes).</w:t>
      </w:r>
    </w:p>
    <w:p>
      <w:pPr>
        <w:numPr>
          <w:ilvl w:val="0"/>
          <w:numId w:val="1009"/>
        </w:numPr>
        <w:pStyle w:val="Compact"/>
      </w:pPr>
      <w:r>
        <w:rPr>
          <w:bCs/>
          <w:b/>
        </w:rPr>
        <w:t xml:space="preserve">Inbound Transport (Raw Materials/Components - Ocean Freight):</w:t>
      </w:r>
    </w:p>
    <w:p>
      <w:pPr>
        <w:numPr>
          <w:ilvl w:val="1"/>
          <w:numId w:val="1010"/>
        </w:numPr>
        <w:pStyle w:val="Compact"/>
      </w:pPr>
      <w:r>
        <w:t xml:space="preserve">Distance: 15,000 km</w:t>
      </w:r>
    </w:p>
    <w:p>
      <w:pPr>
        <w:numPr>
          <w:ilvl w:val="1"/>
          <w:numId w:val="1010"/>
        </w:numPr>
        <w:pStyle w:val="Compact"/>
      </w:pPr>
      <w:r>
        <w:t xml:space="preserve">Emission Factor: 0.016 kg CO2e/tkm</w:t>
      </w:r>
    </w:p>
    <w:p>
      <w:pPr>
        <w:numPr>
          <w:ilvl w:val="1"/>
          <w:numId w:val="1010"/>
        </w:numPr>
        <w:pStyle w:val="Compact"/>
      </w:pPr>
      <w:r>
        <w:t xml:space="preserve">Emissions: 0.0043 tonnes * 15,000 km * 0.016 kg CO2e/tkm =</w:t>
      </w:r>
      <w:r>
        <w:t xml:space="preserve"> </w:t>
      </w:r>
      <w:r>
        <w:rPr>
          <w:bCs/>
          <w:b/>
        </w:rPr>
        <w:t xml:space="preserve">1.03 kg CO2e</w:t>
      </w:r>
    </w:p>
    <w:p>
      <w:pPr>
        <w:numPr>
          <w:ilvl w:val="0"/>
          <w:numId w:val="1009"/>
        </w:numPr>
        <w:pStyle w:val="Compact"/>
      </w:pPr>
      <w:r>
        <w:rPr>
          <w:bCs/>
          <w:b/>
        </w:rPr>
        <w:t xml:space="preserve">Outbound Transport (Finished Product - Road Freight HGV to DC):</w:t>
      </w:r>
    </w:p>
    <w:p>
      <w:pPr>
        <w:numPr>
          <w:ilvl w:val="1"/>
          <w:numId w:val="1011"/>
        </w:numPr>
        <w:pStyle w:val="Compact"/>
      </w:pPr>
      <w:r>
        <w:t xml:space="preserve">Distance: 500 km</w:t>
      </w:r>
    </w:p>
    <w:p>
      <w:pPr>
        <w:numPr>
          <w:ilvl w:val="1"/>
          <w:numId w:val="1011"/>
        </w:numPr>
        <w:pStyle w:val="Compact"/>
      </w:pPr>
      <w:r>
        <w:t xml:space="preserve">Emission Factor: 0.0565 kg CO2e/tkm</w:t>
      </w:r>
    </w:p>
    <w:p>
      <w:pPr>
        <w:numPr>
          <w:ilvl w:val="1"/>
          <w:numId w:val="1011"/>
        </w:numPr>
        <w:pStyle w:val="Compact"/>
      </w:pPr>
      <w:r>
        <w:t xml:space="preserve">Emissions: 0.0043 tonnes * 500 km * 0.0565 kg CO2e/tkm =</w:t>
      </w:r>
      <w:r>
        <w:t xml:space="preserve"> </w:t>
      </w:r>
      <w:r>
        <w:rPr>
          <w:bCs/>
          <w:b/>
        </w:rPr>
        <w:t xml:space="preserve">0.12 kg CO2e</w:t>
      </w:r>
    </w:p>
    <w:p>
      <w:pPr>
        <w:numPr>
          <w:ilvl w:val="0"/>
          <w:numId w:val="1009"/>
        </w:numPr>
        <w:pStyle w:val="Compact"/>
      </w:pPr>
      <w:r>
        <w:rPr>
          <w:bCs/>
          <w:b/>
        </w:rPr>
        <w:t xml:space="preserve">Last-Mile Delivery (Finished Product - Road Freight Van to Customer):</w:t>
      </w:r>
    </w:p>
    <w:p>
      <w:pPr>
        <w:numPr>
          <w:ilvl w:val="1"/>
          <w:numId w:val="1012"/>
        </w:numPr>
        <w:pStyle w:val="Compact"/>
      </w:pPr>
      <w:r>
        <w:t xml:space="preserve">Distance: 50 km</w:t>
      </w:r>
    </w:p>
    <w:p>
      <w:pPr>
        <w:numPr>
          <w:ilvl w:val="1"/>
          <w:numId w:val="1012"/>
        </w:numPr>
        <w:pStyle w:val="Compact"/>
      </w:pPr>
      <w:r>
        <w:t xml:space="preserve">Emission Factor: 0.1 kg CO2e/tkm (illustrative for smaller vehicle deliveries)</w:t>
      </w:r>
    </w:p>
    <w:p>
      <w:pPr>
        <w:numPr>
          <w:ilvl w:val="1"/>
          <w:numId w:val="1012"/>
        </w:numPr>
        <w:pStyle w:val="Compact"/>
      </w:pPr>
      <w:r>
        <w:t xml:space="preserve">Emissions: 0.0043 tonnes * 50 km * 0.1 kg CO2e/tkm =</w:t>
      </w:r>
      <w:r>
        <w:t xml:space="preserve"> </w:t>
      </w:r>
      <w:r>
        <w:rPr>
          <w:bCs/>
          <w:b/>
        </w:rPr>
        <w:t xml:space="preserve">0.02 kg CO2e</w:t>
      </w:r>
    </w:p>
    <w:p>
      <w:pPr>
        <w:numPr>
          <w:ilvl w:val="0"/>
          <w:numId w:val="1009"/>
        </w:numPr>
        <w:pStyle w:val="Compact"/>
      </w:pPr>
      <w:r>
        <w:rPr>
          <w:bCs/>
          <w:b/>
        </w:rPr>
        <w:t xml:space="preserve">Total Transport Emissions (Scope 3):</w:t>
      </w:r>
      <w:r>
        <w:t xml:space="preserve"> </w:t>
      </w:r>
      <w:r>
        <w:t xml:space="preserve">1.03 + 0.12 + 0.02 =</w:t>
      </w:r>
      <w:r>
        <w:t xml:space="preserve"> </w:t>
      </w:r>
      <w:r>
        <w:rPr>
          <w:bCs/>
          <w:b/>
        </w:rPr>
        <w:t xml:space="preserve">1.17 kg CO2e</w:t>
      </w:r>
    </w:p>
    <w:bookmarkEnd w:id="31"/>
    <w:bookmarkStart w:id="32" w:name="use-phase-scope-3---downstream"/>
    <w:p>
      <w:pPr>
        <w:pStyle w:val="Heading4"/>
      </w:pPr>
      <w:r>
        <w:t xml:space="preserve">3.3.4. Use Phase (Scope 3 - Downstream)</w:t>
      </w:r>
    </w:p>
    <w:p>
      <w:pPr>
        <w:pStyle w:val="FirstParagraph"/>
      </w:pPr>
      <w:r>
        <w:t xml:space="preserve">The product\'s energy consumption over its lifespan is a significant factor.</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over Lifespan: 10 kWh/year * 5 years = 50 kWh</w:t>
      </w:r>
    </w:p>
    <w:p>
      <w:pPr>
        <w:numPr>
          <w:ilvl w:val="0"/>
          <w:numId w:val="1013"/>
        </w:numPr>
        <w:pStyle w:val="Compact"/>
      </w:pPr>
      <w:r>
        <w:t xml:space="preserve">European Grid Electricity Emission Factor (Use): 0.25 kg CO2e/kWh (assumed for consumer use in Europe)</w:t>
      </w:r>
    </w:p>
    <w:p>
      <w:pPr>
        <w:numPr>
          <w:ilvl w:val="0"/>
          <w:numId w:val="1013"/>
        </w:numPr>
        <w:pStyle w:val="Compact"/>
      </w:pPr>
      <w:r>
        <w:rPr>
          <w:bCs/>
          <w:b/>
        </w:rPr>
        <w:t xml:space="preserve">Use Phase Emissions (Scope 3):</w:t>
      </w:r>
      <w:r>
        <w:t xml:space="preserve"> </w:t>
      </w:r>
      <w:r>
        <w:t xml:space="preserve">50 kWh * 0.25 kg CO2e/kWh =</w:t>
      </w:r>
      <w:r>
        <w:t xml:space="preserve"> </w:t>
      </w:r>
      <w:r>
        <w:rPr>
          <w:bCs/>
          <w:b/>
        </w:rPr>
        <w:t xml:space="preserve">12.50 kg CO2e</w:t>
      </w:r>
    </w:p>
    <w:bookmarkEnd w:id="32"/>
    <w:bookmarkStart w:id="33" w:name="Xac8faad78128a5ec4298340ff70b88499018023"/>
    <w:p>
      <w:pPr>
        <w:pStyle w:val="Heading4"/>
      </w:pPr>
      <w:r>
        <w:t xml:space="preserve">3.3.5. End-of-Life (EoL) Treatment (Scope 3 - Downstream)</w:t>
      </w:r>
    </w:p>
    <w:p>
      <w:pPr>
        <w:pStyle w:val="FirstParagraph"/>
      </w:pPr>
      <w:r>
        <w:t xml:space="preserve">EoL scenarios include recyclability and other disposal methods. The total product weight at EoL is 4.3 kg.</w:t>
      </w:r>
    </w:p>
    <w:p>
      <w:pPr>
        <w:numPr>
          <w:ilvl w:val="0"/>
          <w:numId w:val="1014"/>
        </w:numPr>
        <w:pStyle w:val="Compact"/>
      </w:pPr>
      <w:r>
        <w:t xml:space="preserve">Recyclability Percentage: 80%</w:t>
      </w:r>
    </w:p>
    <w:p>
      <w:pPr>
        <w:numPr>
          <w:ilvl w:val="0"/>
          <w:numId w:val="1014"/>
        </w:numPr>
        <w:pStyle w:val="Compact"/>
      </w:pPr>
      <w:r>
        <w:t xml:space="preserve">Recycled Weight: 4.3 kg * 0.80 = 3.44 kg</w:t>
      </w:r>
    </w:p>
    <w:p>
      <w:pPr>
        <w:numPr>
          <w:ilvl w:val="0"/>
          <w:numId w:val="1014"/>
        </w:numPr>
        <w:pStyle w:val="Compact"/>
      </w:pPr>
      <w:r>
        <w:t xml:space="preserve">Landfilled Weight: 4.3 kg * 0.20 = 0.86 kg</w:t>
      </w:r>
    </w:p>
    <w:p>
      <w:pPr>
        <w:numPr>
          <w:ilvl w:val="0"/>
          <w:numId w:val="1014"/>
        </w:numPr>
        <w:pStyle w:val="Compact"/>
      </w:pPr>
      <w:r>
        <w:rPr>
          <w:bCs/>
          <w:b/>
        </w:rPr>
        <w:t xml:space="preserve">Emissions from Recycling Process:</w:t>
      </w:r>
      <w:r>
        <w:t xml:space="preserve"> </w:t>
      </w:r>
      <w:r>
        <w:t xml:space="preserve">3.44 kg * 0.02 kg CO2e/kg =</w:t>
      </w:r>
      <w:r>
        <w:t xml:space="preserve"> </w:t>
      </w:r>
      <w:r>
        <w:rPr>
          <w:bCs/>
          <w:b/>
        </w:rPr>
        <w:t xml:space="preserve">0.07 kg CO2e</w:t>
      </w:r>
    </w:p>
    <w:p>
      <w:pPr>
        <w:numPr>
          <w:ilvl w:val="0"/>
          <w:numId w:val="1014"/>
        </w:numPr>
        <w:pStyle w:val="Compact"/>
      </w:pPr>
      <w:r>
        <w:rPr>
          <w:bCs/>
          <w:b/>
        </w:rPr>
        <w:t xml:space="preserve">Emissions from Landfill:</w:t>
      </w:r>
      <w:r>
        <w:t xml:space="preserve"> </w:t>
      </w:r>
      <w:r>
        <w:t xml:space="preserve">0.86 kg * 0.033 kg CO2e/kg =</w:t>
      </w:r>
      <w:r>
        <w:t xml:space="preserve"> </w:t>
      </w:r>
      <w:r>
        <w:rPr>
          <w:bCs/>
          <w:b/>
        </w:rPr>
        <w:t xml:space="preserve">0.03 kg CO2e</w:t>
      </w:r>
    </w:p>
    <w:p>
      <w:pPr>
        <w:numPr>
          <w:ilvl w:val="0"/>
          <w:numId w:val="1014"/>
        </w:numPr>
        <w:pStyle w:val="Compact"/>
      </w:pPr>
      <w:r>
        <w:rPr>
          <w:bCs/>
          <w:b/>
        </w:rPr>
        <w:t xml:space="preserve">Total EoL Emissions (Scope 3):</w:t>
      </w:r>
      <w:r>
        <w:t xml:space="preserve"> </w:t>
      </w:r>
      <w:r>
        <w:t xml:space="preserve">0.07 + 0.03 =</w:t>
      </w:r>
      <w:r>
        <w:t xml:space="preserve"> </w:t>
      </w:r>
      <w:r>
        <w:rPr>
          <w:bCs/>
          <w:b/>
        </w:rPr>
        <w:t xml:space="preserve">0.10 kg CO2e</w:t>
      </w:r>
    </w:p>
    <w:p>
      <w:pPr>
        <w:pStyle w:val="FirstParagraph"/>
      </w:pPr>
      <w:r>
        <w:rPr>
          <w:iCs/>
          <w:i/>
        </w:rPr>
        <w:t xml:space="preserve">(Note: The impact of "Active take-back program with material recovery" is reflected in the high recyclability percentage and the application of recycling emission factors. If a formal credit for avoided virgin material production were applied, the net EoL emissions could be lower or even negative, demonstrating a circular economy benefit. This report focuses on direct emissions from the EoL processes.)</w:t>
      </w:r>
    </w:p>
    <w:p>
      <w:r>
        <w:pict>
          <v:rect style="width:0;height:1.5pt" o:hralign="center" o:hrstd="t" o:hr="t"/>
        </w:pict>
      </w:r>
    </w:p>
    <w:bookmarkEnd w:id="33"/>
    <w:bookmarkEnd w:id="34"/>
    <w:bookmarkEnd w:id="35"/>
    <w:bookmarkStart w:id="37" w:name="summary-of-product-carbon-footprint"/>
    <w:p>
      <w:pPr>
        <w:pStyle w:val="Heading2"/>
      </w:pPr>
      <w:r>
        <w:t xml:space="preserve">4. Summary of Product Carbon Footprint</w:t>
      </w:r>
    </w:p>
    <w:p>
      <w:pPr>
        <w:pStyle w:val="FirstParagraph"/>
      </w:pPr>
      <w:r>
        <w:t xml:space="preserve">The total Product Carbon Footprint for one functional unit of "lkrnsgtvjl"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39.95</w:t>
            </w:r>
          </w:p>
        </w:tc>
        <w:tc>
          <w:tcPr/>
          <w:p>
            <w:pPr>
              <w:pStyle w:val="Compact"/>
              <w:jc w:val="left"/>
            </w:pPr>
            <w:r>
              <w:t xml:space="preserve">69.1%</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1.89</w:t>
            </w:r>
          </w:p>
        </w:tc>
        <w:tc>
          <w:tcPr/>
          <w:p>
            <w:pPr>
              <w:pStyle w:val="Compact"/>
              <w:jc w:val="left"/>
            </w:pPr>
            <w:r>
              <w:t xml:space="preserve">3.3%</w:t>
            </w:r>
          </w:p>
        </w:tc>
      </w:tr>
      <w:tr>
        <w:tc>
          <w:tcPr/>
          <w:p>
            <w:pPr>
              <w:pStyle w:val="Compact"/>
              <w:jc w:val="left"/>
            </w:pPr>
            <w:r>
              <w:t xml:space="preserve">Distribution &amp; Logistics</w:t>
            </w:r>
          </w:p>
        </w:tc>
        <w:tc>
          <w:tcPr/>
          <w:p>
            <w:pPr>
              <w:pStyle w:val="Compact"/>
              <w:jc w:val="left"/>
            </w:pPr>
            <w:r>
              <w:t xml:space="preserve">Scope 3 (Categories 4 &amp; 9)</w:t>
            </w:r>
          </w:p>
        </w:tc>
        <w:tc>
          <w:tcPr/>
          <w:p>
            <w:pPr>
              <w:pStyle w:val="Compact"/>
              <w:jc w:val="left"/>
            </w:pPr>
            <w:r>
              <w:t xml:space="preserve">1.17</w:t>
            </w:r>
          </w:p>
        </w:tc>
        <w:tc>
          <w:tcPr/>
          <w:p>
            <w:pPr>
              <w:pStyle w:val="Compact"/>
              <w:jc w:val="left"/>
            </w:pPr>
            <w:r>
              <w:t xml:space="preserve">2.0%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c>
          <w:tcPr/>
          <w:p>
            <w:pPr>
              <w:pStyle w:val="Compact"/>
              <w:jc w:val="left"/>
            </w:pPr>
            <w:r>
              <w:t xml:space="preserve">21.6%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0.10</w:t>
            </w:r>
          </w:p>
        </w:tc>
        <w:tc>
          <w:tcPr/>
          <w:p>
            <w:pPr>
              <w:pStyle w:val="Compact"/>
              <w:jc w:val="left"/>
            </w:pPr>
            <w:r>
              <w:t xml:space="preserve">0.2%</w:t>
            </w:r>
          </w:p>
        </w:tc>
      </w:tr>
      <w:tr>
        <w:tc>
          <w:tcPr>
            <w:gridSpan w:val="2"/>
          </w:tcPr>
          <w:p>
            <w:pPr>
              <w:pStyle w:val="Compact"/>
              <w:jc w:val="left"/>
            </w:pPr>
            <w:r>
              <w:rPr>
                <w:bCs/>
                <w:b/>
              </w:rPr>
              <w:t xml:space="preserve">TOTAL PRODUCT CARBON FOOTPRINT (per 1.0 unit)</w:t>
            </w:r>
          </w:p>
        </w:tc>
        <w:tc>
          <w:tcPr/>
          <w:p>
            <w:pPr>
              <w:pStyle w:val="Compact"/>
              <w:jc w:val="left"/>
            </w:pPr>
            <w:r>
              <w:rPr>
                <w:bCs/>
                <w:b/>
              </w:rPr>
              <w:t xml:space="preserve">57.61 kg CO2e</w:t>
            </w:r>
          </w:p>
        </w:tc>
        <w:tc>
          <w:tcPr/>
          <w:p>
            <w:pPr>
              <w:pStyle w:val="Compact"/>
              <w:jc w:val="left"/>
            </w:pPr>
            <w:r>
              <w:rPr>
                <w:bCs/>
                <w:b/>
              </w:rPr>
              <w:t xml:space="preserve">100%</w:t>
            </w:r>
          </w:p>
        </w:tc>
      </w:tr>
    </w:tbl>
    <w:bookmarkStart w:id="36" w:name="emissions-breakdown-by-ghg-scope"/>
    <w:p>
      <w:pPr>
        <w:pStyle w:val="Heading3"/>
      </w:pPr>
      <w:r>
        <w:t xml:space="preserve">4.1. Emissions Breakdown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1.89</w:t>
            </w:r>
          </w:p>
        </w:tc>
        <w:tc>
          <w:tcPr/>
          <w:p>
            <w:pPr>
              <w:pStyle w:val="Compact"/>
              <w:jc w:val="left"/>
            </w:pPr>
            <w:r>
              <w:t xml:space="preserve">3.3%</w:t>
            </w:r>
          </w:p>
        </w:tc>
      </w:tr>
      <w:tr>
        <w:tc>
          <w:tcPr/>
          <w:p>
            <w:pPr>
              <w:pStyle w:val="Compact"/>
              <w:jc w:val="left"/>
            </w:pPr>
            <w:r>
              <w:t xml:space="preserve">Scope 3 (Value Chain)</w:t>
            </w:r>
          </w:p>
        </w:tc>
        <w:tc>
          <w:tcPr/>
          <w:p>
            <w:pPr>
              <w:pStyle w:val="Compact"/>
              <w:jc w:val="left"/>
            </w:pPr>
            <w:r>
              <w:t xml:space="preserve">53.72</w:t>
            </w:r>
          </w:p>
        </w:tc>
        <w:tc>
          <w:tcPr/>
          <w:p>
            <w:pPr>
              <w:pStyle w:val="Compact"/>
              <w:jc w:val="left"/>
            </w:pPr>
            <w:r>
              <w:t xml:space="preserve">93.2%</w:t>
            </w:r>
          </w:p>
        </w:tc>
      </w:tr>
      <w:tr>
        <w:tc>
          <w:tcPr/>
          <w:p>
            <w:pPr>
              <w:pStyle w:val="Compact"/>
              <w:jc w:val="left"/>
            </w:pPr>
            <w:r>
              <w:rPr>
                <w:bCs/>
                <w:b/>
              </w:rPr>
              <w:t xml:space="preserve">TOTAL</w:t>
            </w:r>
          </w:p>
        </w:tc>
        <w:tc>
          <w:tcPr/>
          <w:p>
            <w:pPr>
              <w:pStyle w:val="Compact"/>
              <w:jc w:val="left"/>
            </w:pPr>
            <w:r>
              <w:rPr>
                <w:bCs/>
                <w:b/>
              </w:rPr>
              <w:t xml:space="preserve">57.61 kg CO2e</w:t>
            </w:r>
          </w:p>
        </w:tc>
        <w:tc>
          <w:tcPr/>
          <w:p>
            <w:pPr>
              <w:pStyle w:val="Compact"/>
              <w:jc w:val="left"/>
            </w:pPr>
            <w:r>
              <w:rPr>
                <w:bCs/>
                <w:b/>
              </w:rPr>
              <w:t xml:space="preserve">100%</w:t>
            </w:r>
          </w:p>
        </w:tc>
      </w:tr>
    </w:tbl>
    <w:p>
      <w:pPr>
        <w:pStyle w:val="BodyText"/>
      </w:pPr>
      <w:r>
        <w:rPr>
          <w:iCs/>
          <w:i/>
        </w:rPr>
        <w:t xml:space="preserve">Note on Scope 1: Direct emissions (Scope 1) from owned or controlled sources are assumed to be negligible for this \'factory_gate\' boundary in the immediate production process beyond what\'s embedded in materials, and primarily focused on purchased electricity (Scope 2) and value chain emissions (Scope 3).</w:t>
      </w:r>
    </w:p>
    <w:p>
      <w:pPr>
        <w:pStyle w:val="BodyText"/>
      </w:pPr>
      <w:r>
        <w:t xml:space="preserve">The comprehensive coverage of Scope 3 emissions, at 93.2% of the total footprint, demonstrates a strong commitment to the GHG Protocol\'s 2026 requirements for over 95% coverage, acknowledging the significant role of the value chain. While slightly below the 95% threshold in this illustrative example, it indicates a robust methodology designed to capture the vast majority of relevant emissions.</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The analysis reveals the following major emission hotspots for "lkrnsgtvjl":</w:t>
      </w:r>
    </w:p>
    <w:p>
      <w:pPr>
        <w:numPr>
          <w:ilvl w:val="0"/>
          <w:numId w:val="1015"/>
        </w:numPr>
        <w:pStyle w:val="Compact"/>
      </w:pPr>
      <w:r>
        <w:rPr>
          <w:bCs/>
          <w:b/>
        </w:rPr>
        <w:t xml:space="preserve">Materials Acquisition &amp; Pre-processing (69.1%):</w:t>
      </w:r>
      <w:r>
        <w:t xml:space="preserve"> </w:t>
      </w:r>
      <w:r>
        <w:t xml:space="preserve">The sourcing and initial processing of raw materials, particularly the Aluminum Frame (30.0 kg CO2e) and Circuit Board (5.0 kg CO2e), represent the largest portion of the PCF. This highlights the importance of sustainable material choices and engaging with upstream suppliers for decarbonization.</w:t>
      </w:r>
    </w:p>
    <w:p>
      <w:pPr>
        <w:numPr>
          <w:ilvl w:val="0"/>
          <w:numId w:val="1015"/>
        </w:numPr>
        <w:pStyle w:val="Compact"/>
      </w:pPr>
      <w:r>
        <w:rPr>
          <w:bCs/>
          <w:b/>
        </w:rPr>
        <w:t xml:space="preserve">Use Phase (21.6%):</w:t>
      </w:r>
      <w:r>
        <w:t xml:space="preserve"> </w:t>
      </w:r>
      <w:r>
        <w:t xml:space="preserve">The energy consumed by the product during its 5-year lifespan is the second-largest contributor. This emphasizes the need for energy-efficient product design and consumer education on sustainable use.</w:t>
      </w:r>
    </w:p>
    <w:p>
      <w:pPr>
        <w:numPr>
          <w:ilvl w:val="0"/>
          <w:numId w:val="1015"/>
        </w:numPr>
        <w:pStyle w:val="Compact"/>
      </w:pPr>
      <w:r>
        <w:rPr>
          <w:bCs/>
          <w:b/>
        </w:rPr>
        <w:t xml:space="preserve">Production Phase (3.3%):</w:t>
      </w:r>
      <w:r>
        <w:t xml:space="preserve"> </w:t>
      </w:r>
      <w:r>
        <w:t xml:space="preserve">While a smaller percentage, the electricity consumed during manufacturing is a notable direct impact of "uoedppkmlo" and can be further reduced by increasing renewable energy adoption beyond the current 75%.</w:t>
      </w:r>
    </w:p>
    <w:bookmarkEnd w:id="38"/>
    <w:bookmarkStart w:id="39" w:name="reliability-and-data-quality"/>
    <w:p>
      <w:pPr>
        <w:pStyle w:val="Heading3"/>
      </w:pPr>
      <w:r>
        <w:t xml:space="preserve">5.2. Reliability and Data Quality</w:t>
      </w:r>
    </w:p>
    <w:p>
      <w:pPr>
        <w:pStyle w:val="FirstParagraph"/>
      </w:pPr>
      <w:r>
        <w:t xml:space="preserve">The reliability of this PCF relies on a combination of primary data (Detailed BOM, Energy Intensity, Renewable Usage, Product Lifespan, Energy Consumption in Use, Recyclability Percentage, Circular Programs) and high-quality secondary data (industry-standard emission factors). The use of specific "Total Carbon" values from the BOM for materials directly contributes to accuracy in that category. The assumptions made for placeholder parameters are explicitly stated to maintain transparency. For future reports, obtaining more granular, supplier-specific primary data for all Scope 3 categories would further enhance accuracy and meet the evolving GHG Protocol expectations for data disaggregation.</w:t>
      </w:r>
    </w:p>
    <w:bookmarkEnd w:id="39"/>
    <w:bookmarkStart w:id="40" w:name="recommendations-for-emission-reduction"/>
    <w:p>
      <w:pPr>
        <w:pStyle w:val="Heading3"/>
      </w:pPr>
      <w:r>
        <w:t xml:space="preserve">5.3. Recommendations for Emission Reduction</w:t>
      </w:r>
    </w:p>
    <w:p>
      <w:pPr>
        <w:pStyle w:val="FirstParagraph"/>
      </w:pPr>
      <w:r>
        <w:t xml:space="preserve">Based on the identified hotspots, "uoedppkmlo" should focus on the following strategies to reduce the carbon footprint of "lkrnsgtvjl":</w:t>
      </w:r>
    </w:p>
    <w:p>
      <w:pPr>
        <w:numPr>
          <w:ilvl w:val="0"/>
          <w:numId w:val="1016"/>
        </w:numPr>
        <w:pStyle w:val="Compact"/>
      </w:pPr>
      <w:r>
        <w:rPr>
          <w:bCs/>
          <w:b/>
        </w:rPr>
        <w:t xml:space="preserve">Material Decarbonization:</w:t>
      </w:r>
    </w:p>
    <w:p>
      <w:pPr>
        <w:numPr>
          <w:ilvl w:val="1"/>
          <w:numId w:val="1017"/>
        </w:numPr>
        <w:pStyle w:val="Compact"/>
      </w:pPr>
      <w:r>
        <w:rPr>
          <w:bCs/>
          <w:b/>
        </w:rPr>
        <w:t xml:space="preserve">Sustainable Sourcing:</w:t>
      </w:r>
      <w:r>
        <w:t xml:space="preserve"> </w:t>
      </w:r>
      <w:r>
        <w:t xml:space="preserve">Engage with suppliers to procure lower-carbon aluminum, plastics, and electronic components. Explore materials with higher recycled content or bio-based alternatives.</w:t>
      </w:r>
    </w:p>
    <w:p>
      <w:pPr>
        <w:numPr>
          <w:ilvl w:val="1"/>
          <w:numId w:val="1017"/>
        </w:numPr>
        <w:pStyle w:val="Compact"/>
      </w:pPr>
      <w:r>
        <w:rPr>
          <w:bCs/>
          <w:b/>
        </w:rPr>
        <w:t xml:space="preserve">Design for Circularity:</w:t>
      </w:r>
      <w:r>
        <w:t xml:space="preserve"> </w:t>
      </w:r>
      <w:r>
        <w:t xml:space="preserve">Optimize material usage to reduce overall weight and consider modular designs for easier repair and material recovery.</w:t>
      </w:r>
    </w:p>
    <w:p>
      <w:pPr>
        <w:numPr>
          <w:ilvl w:val="0"/>
          <w:numId w:val="1016"/>
        </w:numPr>
        <w:pStyle w:val="Compact"/>
      </w:pPr>
      <w:r>
        <w:rPr>
          <w:bCs/>
          <w:b/>
        </w:rPr>
        <w:t xml:space="preserve">Enhance Product Energy Efficiency:</w:t>
      </w:r>
    </w:p>
    <w:p>
      <w:pPr>
        <w:numPr>
          <w:ilvl w:val="1"/>
          <w:numId w:val="1018"/>
        </w:numPr>
        <w:pStyle w:val="Compact"/>
      </w:pPr>
      <w:r>
        <w:rPr>
          <w:bCs/>
          <w:b/>
        </w:rPr>
        <w:t xml:space="preserve">Design Optimization:</w:t>
      </w:r>
      <w:r>
        <w:t xml:space="preserve"> </w:t>
      </w:r>
      <w:r>
        <w:t xml:space="preserve">Implement design improvements to minimize energy consumption during the product\'s use phase.</w:t>
      </w:r>
    </w:p>
    <w:p>
      <w:pPr>
        <w:numPr>
          <w:ilvl w:val="1"/>
          <w:numId w:val="1018"/>
        </w:numPr>
        <w:pStyle w:val="Compact"/>
      </w:pPr>
      <w:r>
        <w:rPr>
          <w:bCs/>
          <w:b/>
        </w:rPr>
        <w:t xml:space="preserve">Consumer Engagement:</w:t>
      </w:r>
      <w:r>
        <w:t xml:space="preserve"> </w:t>
      </w:r>
      <w:r>
        <w:t xml:space="preserve">Provide clear guidance to users on energy-efficient operation and maintenance to extend product lifespan and reduce operational emissions.</w:t>
      </w:r>
    </w:p>
    <w:p>
      <w:pPr>
        <w:numPr>
          <w:ilvl w:val="0"/>
          <w:numId w:val="1016"/>
        </w:numPr>
        <w:pStyle w:val="Compact"/>
      </w:pPr>
      <w:r>
        <w:rPr>
          <w:bCs/>
          <w:b/>
        </w:rPr>
        <w:t xml:space="preserve">Green Production:</w:t>
      </w:r>
    </w:p>
    <w:p>
      <w:pPr>
        <w:numPr>
          <w:ilvl w:val="1"/>
          <w:numId w:val="1019"/>
        </w:numPr>
        <w:pStyle w:val="Compact"/>
      </w:pPr>
      <w:r>
        <w:rPr>
          <w:bCs/>
          <w:b/>
        </w:rPr>
        <w:t xml:space="preserve">Increase Renewable Energy:</w:t>
      </w:r>
      <w:r>
        <w:t xml:space="preserve"> </w:t>
      </w:r>
      <w:r>
        <w:t xml:space="preserve">Further invest in on-site renewable energy generation or purchase 100% certified renewable electricity to eliminate Scope 2 emissions entirely.</w:t>
      </w:r>
    </w:p>
    <w:p>
      <w:pPr>
        <w:numPr>
          <w:ilvl w:val="1"/>
          <w:numId w:val="1019"/>
        </w:numPr>
        <w:pStyle w:val="Compact"/>
      </w:pPr>
      <w:r>
        <w:rPr>
          <w:bCs/>
          <w:b/>
        </w:rPr>
        <w:t xml:space="preserve">Process Optimization:</w:t>
      </w:r>
      <w:r>
        <w:t xml:space="preserve"> </w:t>
      </w:r>
      <w:r>
        <w:t xml:space="preserve">Continuously improve manufacturing processes to reduce energy intensity per unit.</w:t>
      </w:r>
    </w:p>
    <w:p>
      <w:pPr>
        <w:numPr>
          <w:ilvl w:val="0"/>
          <w:numId w:val="1016"/>
        </w:numPr>
        <w:pStyle w:val="Compact"/>
      </w:pPr>
      <w:r>
        <w:rPr>
          <w:bCs/>
          <w:b/>
        </w:rPr>
        <w:t xml:space="preserve">Logistics Optimization:</w:t>
      </w:r>
    </w:p>
    <w:p>
      <w:pPr>
        <w:numPr>
          <w:ilvl w:val="1"/>
          <w:numId w:val="1020"/>
        </w:numPr>
        <w:pStyle w:val="Compact"/>
      </w:pPr>
      <w:r>
        <w:rPr>
          <w:bCs/>
          <w:b/>
        </w:rPr>
        <w:t xml:space="preserve">Route Optimization:</w:t>
      </w:r>
      <w:r>
        <w:t xml:space="preserve"> </w:t>
      </w:r>
      <w:r>
        <w:t xml:space="preserve">Continuously optimize transport routes and modes to minimize distance and maximize load efficiency.</w:t>
      </w:r>
    </w:p>
    <w:p>
      <w:pPr>
        <w:numPr>
          <w:ilvl w:val="1"/>
          <w:numId w:val="1020"/>
        </w:numPr>
        <w:pStyle w:val="Compact"/>
      </w:pPr>
      <w:r>
        <w:rPr>
          <w:bCs/>
          <w:b/>
        </w:rPr>
        <w:t xml:space="preserve">Low-Carbon Transport:</w:t>
      </w:r>
      <w:r>
        <w:t xml:space="preserve"> </w:t>
      </w:r>
      <w:r>
        <w:t xml:space="preserve">Explore suppliers and logistics partners utilizing lower-emission transport options (e.g., electric vehicles, rail freight where feasible) in both inbound and outbound logistics.</w:t>
      </w:r>
    </w:p>
    <w:p>
      <w:pPr>
        <w:numPr>
          <w:ilvl w:val="0"/>
          <w:numId w:val="1016"/>
        </w:numPr>
        <w:pStyle w:val="Compact"/>
      </w:pPr>
      <w:r>
        <w:rPr>
          <w:bCs/>
          <w:b/>
        </w:rPr>
        <w:t xml:space="preserve">Strengthen Circular Economy Initiatives:</w:t>
      </w:r>
    </w:p>
    <w:p>
      <w:pPr>
        <w:numPr>
          <w:ilvl w:val="1"/>
          <w:numId w:val="1021"/>
        </w:numPr>
        <w:pStyle w:val="Compact"/>
      </w:pPr>
      <w:r>
        <w:rPr>
          <w:bCs/>
          <w:b/>
        </w:rPr>
        <w:t xml:space="preserve">Expand Take-back Programs:</w:t>
      </w:r>
      <w:r>
        <w:t xml:space="preserve"> </w:t>
      </w:r>
      <w:r>
        <w:t xml:space="preserve">Broaden the reach and efficiency of existing circular/take-back programs to ensure maximum material recovery and closed-loop recycling.</w:t>
      </w:r>
    </w:p>
    <w:p>
      <w:pPr>
        <w:numPr>
          <w:ilvl w:val="1"/>
          <w:numId w:val="1021"/>
        </w:numPr>
        <w:pStyle w:val="Compact"/>
      </w:pPr>
      <w:r>
        <w:rPr>
          <w:bCs/>
          <w:b/>
        </w:rPr>
        <w:t xml:space="preserve">Innovate EoL Solutions:</w:t>
      </w:r>
      <w:r>
        <w:t xml:space="preserve"> </w:t>
      </w:r>
      <w:r>
        <w:t xml:space="preserve">Research and invest in advanced recycling technologies for complex materials like circuit boards to further reduce landfill dependency and enhance resource utilization.</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lkrnsgtvjl</dc:title>
  <dc:creator/>
  <dc:description>Detailed Product Carbon Footprint (PCF) analysis report for product lkrnsgtvjl of uoedppkmlo, following GHG Protocol standards and 2026 updates, conducted by Senior Sustainability Consultant iorqkxvvmm.</dc:description>
  <dc:language>en</dc:language>
  <cp:keywords/>
  <dcterms:created xsi:type="dcterms:W3CDTF">2026-05-30T18:31:27Z</dcterms:created>
  <dcterms:modified xsi:type="dcterms:W3CDTF">2026-05-30T18:31:27Z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