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lfvqpqpgdl</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lfvqpqpgdl</w:t>
      </w:r>
    </w:p>
    <w:p>
      <w:pPr>
        <w:pStyle w:val="BodyText"/>
      </w:pPr>
      <w:r>
        <w:rPr>
          <w:bCs/>
          <w:b/>
        </w:rPr>
        <w:t xml:space="preserve">Company:</w:t>
      </w:r>
      <w:r>
        <w:t xml:space="preserve"> </w:t>
      </w:r>
      <w:r>
        <w:t xml:space="preserve">qvishkuxff</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prhvtfqwgg</w:t>
      </w:r>
    </w:p>
    <w:p>
      <w:pPr>
        <w:pStyle w:val="BodyText"/>
      </w:pPr>
      <w:r>
        <w:t xml:space="preserve">Disclaimer: This report is generated based on available data, industry standards, and illustrative assumptions where specific data was not provided. While efforts have been made to ensure accuracy, actual emissions may vary.</w:t>
      </w:r>
    </w:p>
    <w:bookmarkEnd w:id="20"/>
    <w:bookmarkStart w:id="21" w:name="X79f7718b66e7aec58c53b4a484e4b547e54038c"/>
    <w:p>
      <w:pPr>
        <w:pStyle w:val="Heading1"/>
      </w:pPr>
      <w:r>
        <w:t xml:space="preserve">Product Carbon Footprint Analysis for lfvqpqpgdl</w:t>
      </w:r>
    </w:p>
    <w:p>
      <w:pPr>
        <w:pStyle w:val="FirstParagraph"/>
      </w:pPr>
      <w:r>
        <w:t xml:space="preserve">Generated Date: May 21, 2026</w:t>
      </w:r>
    </w:p>
    <w:bookmarkEnd w:id="21"/>
    <w:bookmarkStart w:id="22" w:name="executive-summary"/>
    <w:p>
      <w:pPr>
        <w:pStyle w:val="Heading2"/>
      </w:pPr>
      <w:r>
        <w:t xml:space="preserve">1. Executive Summary</w:t>
      </w:r>
    </w:p>
    <w:p>
      <w:pPr>
        <w:pStyle w:val="FirstParagraph"/>
      </w:pPr>
      <w:r>
        <w:t xml:space="preserve">This report presents a high-detail Product Carbon Footprint (PCF) analysis for the product lfvqpqpgdl, manufactured by qvishkuxff. The analysis was conducted by prhvtfqwgg, a Senior Sustainability Consultant specializing in GHG Protocol. Adhering to the GHG Protocol and incorporating the 2026 Land Sector and Removals (LSR) Standard, this cradle-to-grave assessment quantifies greenhouse gas (GHG) emissions across the product\'s entire lifecycle. The primary goal is to identify emission hotspots and provide actionable insights for qvishkuxff to enhance the sustainability of lfvqpqpgdl and its supply chain.</w:t>
      </w:r>
    </w:p>
    <w:p>
      <w:pPr>
        <w:pStyle w:val="BodyText"/>
      </w:pPr>
      <w:r>
        <w:t xml:space="preserve">Key findings highlight that the manufacturing and use phases are significant contributors to the overall footprint, driven by energy consumption and material choices. Upstream transportation and End-of-Life (EoL) scenarios also play crucial roles. The report emphasizes opportunities for improvement through renewable energy adoption, optimized logistics, and enhanced circularity initiatives.</w:t>
      </w:r>
    </w:p>
    <w:p>
      <w:r>
        <w:pict>
          <v:rect style="width:0;height:1.5pt" o:hralign="center" o:hrstd="t" o:hr="t"/>
        </w:pict>
      </w:r>
    </w:p>
    <w:bookmarkEnd w:id="22"/>
    <w:bookmarkStart w:id="36" w:name="methodology"/>
    <w:p>
      <w:pPr>
        <w:pStyle w:val="Heading2"/>
      </w:pPr>
      <w:r>
        <w:t xml:space="preserve">2. Methodology</w:t>
      </w:r>
    </w:p>
    <w:p>
      <w:pPr>
        <w:pStyle w:val="FirstParagraph"/>
      </w:pPr>
      <w:r>
        <w:t xml:space="preserve">The Product Carbon Footprint (PCF) analysis for lfvqpqpgdl strictly follows the five-step methodology as prescribed by the GHG Protocol. This approach ensures a comprehensive and standardized assessment of greenhouse gas emissions throughout the product\'s lifecycle.</w:t>
      </w:r>
    </w:p>
    <w:bookmarkStart w:id="23" w:name="step-1-define-scope"/>
    <w:p>
      <w:pPr>
        <w:pStyle w:val="Heading3"/>
      </w:pPr>
      <w:r>
        <w:t xml:space="preserve">2.1. Step 1: Define Scope</w:t>
      </w:r>
    </w:p>
    <w:p>
      <w:pPr>
        <w:numPr>
          <w:ilvl w:val="0"/>
          <w:numId w:val="1001"/>
        </w:numPr>
        <w:pStyle w:val="Compact"/>
      </w:pPr>
      <w:r>
        <w:rPr>
          <w:bCs/>
          <w:b/>
        </w:rPr>
        <w:t xml:space="preserve">Functional Unit:</w:t>
      </w:r>
      <w:r>
        <w:t xml:space="preserve"> </w:t>
      </w:r>
      <w:r>
        <w:t xml:space="preserve">The functional unit for this analysis is 1.0 unit of lfvqpqpgdl.</w:t>
      </w:r>
    </w:p>
    <w:p>
      <w:pPr>
        <w:numPr>
          <w:ilvl w:val="0"/>
          <w:numId w:val="1001"/>
        </w:numPr>
        <w:pStyle w:val="Compact"/>
      </w:pPr>
      <w:r>
        <w:rPr>
          <w:bCs/>
          <w:b/>
        </w:rPr>
        <w:t xml:space="preserve">System Boundary:</w:t>
      </w:r>
      <w:r>
        <w:t xml:space="preserve"> </w:t>
      </w:r>
      <w:r>
        <w:t xml:space="preserve">While the primary focus for manufacturing is defined as \'factory_gate\', this analysis extends to a \'cradle-to-grave\' boundary to comprehensively include all provided parameters, specifically the Use Phase and End-of-Life scenarios. This encompasses raw material extraction, manufacturing, transportation, product use, and end-of-life treatment.</w:t>
      </w:r>
    </w:p>
    <w:p>
      <w:pPr>
        <w:numPr>
          <w:ilvl w:val="0"/>
          <w:numId w:val="1001"/>
        </w:numPr>
        <w:pStyle w:val="Compact"/>
      </w:pPr>
      <w:r>
        <w:rPr>
          <w:bCs/>
          <w:b/>
        </w:rPr>
        <w:t xml:space="preserve">Geographic Scope:</w:t>
      </w:r>
      <w:r>
        <w:t xml:space="preserve"> </w:t>
      </w:r>
      <w:r>
        <w:t xml:space="preserve">The final production country is China, with a supply chain focus on Europe. This necessitates the use of country-specific emission factors where available, particularly for electricity grids.</w:t>
      </w:r>
    </w:p>
    <w:p>
      <w:pPr>
        <w:numPr>
          <w:ilvl w:val="0"/>
          <w:numId w:val="1001"/>
        </w:numPr>
        <w:pStyle w:val="Compact"/>
      </w:pPr>
      <w:r>
        <w:rPr>
          <w:bCs/>
          <w:b/>
        </w:rPr>
        <w:t xml:space="preserve">Accounting Standard:</w:t>
      </w:r>
      <w:r>
        <w:t xml:space="preserve"> </w:t>
      </w:r>
      <w:r>
        <w:t xml:space="preserve">The analysis strictly adheres to the GHG Protocol Product Standard, ensuring robust categorization of emissions into Scope 1, Scope 2, and Scope 3.</w:t>
      </w:r>
    </w:p>
    <w:p>
      <w:pPr>
        <w:numPr>
          <w:ilvl w:val="0"/>
          <w:numId w:val="1001"/>
        </w:numPr>
        <w:pStyle w:val="Compact"/>
      </w:pPr>
      <w:r>
        <w:rPr>
          <w:bCs/>
          <w:b/>
        </w:rPr>
        <w:t xml:space="preserve">Allocation:</w:t>
      </w:r>
      <w:r>
        <w:t xml:space="preserve"> </w:t>
      </w:r>
      <w:r>
        <w:t xml:space="preserve">For multi-functional processes or shared infrastructure, emissions are allocated based on mass where appropriate, ensuring proportional distribution of environmental burdens.</w:t>
      </w:r>
    </w:p>
    <w:bookmarkEnd w:id="23"/>
    <w:bookmarkStart w:id="24" w:name="Xef2cad8b6715bfd9664e6ec6d96ac44c4a46fb4"/>
    <w:p>
      <w:pPr>
        <w:pStyle w:val="Heading3"/>
      </w:pPr>
      <w:r>
        <w:t xml:space="preserve">2.2. Step 2: Map Lifecycle (LCI Inventory Stages)</w:t>
      </w:r>
    </w:p>
    <w:p>
      <w:pPr>
        <w:pStyle w:val="FirstParagraph"/>
      </w:pPr>
      <w:r>
        <w:t xml:space="preserve">The lifecycle of lfvqpqpgdl is mapped through the following stages:</w:t>
      </w:r>
    </w:p>
    <w:p>
      <w:pPr>
        <w:numPr>
          <w:ilvl w:val="0"/>
          <w:numId w:val="1002"/>
        </w:numPr>
        <w:pStyle w:val="Compact"/>
      </w:pPr>
      <w:r>
        <w:rPr>
          <w:bCs/>
          <w:b/>
        </w:rPr>
        <w:t xml:space="preserve">Raw Material Acquisition &amp; Pre-processing (Upstream):</w:t>
      </w:r>
      <w:r>
        <w:t xml:space="preserve"> </w:t>
      </w:r>
      <w:r>
        <w:t xml:space="preserve">This stage includes the extraction, processing, and initial manufacturing of all raw materials detailed in the Bill of Materials (BOM). Emissions are considered for the production of these materials up to their point of delivery at the manufacturing facility.</w:t>
      </w:r>
    </w:p>
    <w:p>
      <w:pPr>
        <w:numPr>
          <w:ilvl w:val="0"/>
          <w:numId w:val="1002"/>
        </w:numPr>
        <w:pStyle w:val="Compact"/>
      </w:pPr>
      <w:r>
        <w:rPr>
          <w:bCs/>
          <w:b/>
        </w:rPr>
        <w:t xml:space="preserve">Manufacturing/Production:</w:t>
      </w:r>
      <w:r>
        <w:t xml:space="preserve"> </w:t>
      </w:r>
      <w:r>
        <w:t xml:space="preserve">This covers all processes at the qvishkuxff production facility in China, including energy consumption for assembly, molding, and finishing.</w:t>
      </w:r>
    </w:p>
    <w:p>
      <w:pPr>
        <w:numPr>
          <w:ilvl w:val="0"/>
          <w:numId w:val="1002"/>
        </w:numPr>
        <w:pStyle w:val="Compact"/>
      </w:pPr>
      <w:r>
        <w:rPr>
          <w:bCs/>
          <w:b/>
        </w:rPr>
        <w:t xml:space="preserve">Transport (Distribution/Logistics):</w:t>
      </w:r>
      <w:r>
        <w:t xml:space="preserve"> </w:t>
      </w:r>
      <w:r>
        <w:t xml:space="preserve">Encompasses the transportation of raw materials to the manufacturing plant (upstream) and the distribution of the finished product to the end-user (downstream, including last-mile delivery).</w:t>
      </w:r>
    </w:p>
    <w:p>
      <w:pPr>
        <w:numPr>
          <w:ilvl w:val="0"/>
          <w:numId w:val="1002"/>
        </w:numPr>
        <w:pStyle w:val="Compact"/>
      </w:pPr>
      <w:r>
        <w:rPr>
          <w:bCs/>
          <w:b/>
        </w:rPr>
        <w:t xml:space="preserve">Use Phase:</w:t>
      </w:r>
      <w:r>
        <w:t xml:space="preserve"> </w:t>
      </w:r>
      <w:r>
        <w:t xml:space="preserve">Accounts for energy consumption during the product\'s lifespan, based on the specified energy consumption per year and product lifespan.</w:t>
      </w:r>
    </w:p>
    <w:p>
      <w:pPr>
        <w:numPr>
          <w:ilvl w:val="0"/>
          <w:numId w:val="1002"/>
        </w:numPr>
        <w:pStyle w:val="Compact"/>
      </w:pPr>
      <w:r>
        <w:rPr>
          <w:bCs/>
          <w:b/>
        </w:rPr>
        <w:t xml:space="preserve">End-of-Life (EoL):</w:t>
      </w:r>
      <w:r>
        <w:t xml:space="preserve"> </w:t>
      </w:r>
      <w:r>
        <w:t xml:space="preserve">Addresses the emissions associated with the disposal and recycling of the product at the end of its functional life.</w:t>
      </w:r>
    </w:p>
    <w:bookmarkEnd w:id="24"/>
    <w:bookmarkStart w:id="28" w:name="X46460218b75090116924b5e02e281dcf8597f63"/>
    <w:p>
      <w:pPr>
        <w:pStyle w:val="Heading3"/>
      </w:pPr>
      <w:r>
        <w:t xml:space="preserve">2.3. Step 3: Collect Data (Primary/Secondary Data Points)</w:t>
      </w:r>
    </w:p>
    <w:p>
      <w:pPr>
        <w:pStyle w:val="FirstParagraph"/>
      </w:pPr>
      <w:r>
        <w:t xml:space="preserve">Data collection involved utilizing specific parameters provided by qvishkuxff and supplementing with industry-standard emission factors where primary data was unavailable. It is important to note that for the Detailed Bill of Materials (BOM), the provided value "hpkdjzlh" was a placeholder. Therefore, illustrative BOM data adhering to the specified format has been generated to enable calculations. Similarly, specific numerical values for Transport Mode, Transport Distance, Last-Mile Delivery Channel, Renewable Energy Usage, Energy Intensity, Product Lifespan, Energy Consumption in Use, Recyclability Percentage, and Circular/Take-back Programs have been used as illustrative examples to perform the analysis, as placeholders were provided.</w:t>
      </w:r>
    </w:p>
    <w:bookmarkStart w:id="25" w:name="X148ed4345b8dd4a166a2d6efaace4cec1240a9a"/>
    <w:p>
      <w:pPr>
        <w:pStyle w:val="Heading4"/>
      </w:pPr>
      <w:r>
        <w:t xml:space="preserve">Detailed Breakdown of Materials (Illustrative BOM for `hpkdjzlh`)</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 CO2e/kg)</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Plastic Casing (ABS)</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2.5</w:t>
            </w:r>
          </w:p>
        </w:tc>
        <w:tc>
          <w:tcPr/>
          <w:p>
            <w:pPr>
              <w:pStyle w:val="Compact"/>
              <w:jc w:val="left"/>
            </w:pPr>
            <w:r>
              <w:t xml:space="preserve">0.375</w:t>
            </w:r>
          </w:p>
        </w:tc>
      </w:tr>
      <w:tr>
        <w:tc>
          <w:tcPr/>
          <w:p>
            <w:pPr>
              <w:pStyle w:val="Compact"/>
              <w:jc w:val="left"/>
            </w:pPr>
            <w:r>
              <w:t xml:space="preserve">M002</w:t>
            </w:r>
          </w:p>
        </w:tc>
        <w:tc>
          <w:tcPr/>
          <w:p>
            <w:pPr>
              <w:pStyle w:val="Compact"/>
              <w:jc w:val="left"/>
            </w:pPr>
            <w:r>
              <w:t xml:space="preserve">Aluminum Frame</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6.0</w:t>
            </w:r>
          </w:p>
        </w:tc>
        <w:tc>
          <w:tcPr/>
          <w:p>
            <w:pPr>
              <w:pStyle w:val="Compact"/>
              <w:jc w:val="left"/>
            </w:pPr>
            <w:r>
              <w:t xml:space="preserve">0.300</w:t>
            </w:r>
          </w:p>
        </w:tc>
      </w:tr>
      <w:tr>
        <w:tc>
          <w:tcPr/>
          <w:p>
            <w:pPr>
              <w:pStyle w:val="Compact"/>
              <w:jc w:val="left"/>
            </w:pPr>
            <w:r>
              <w:t xml:space="preserve">M003</w:t>
            </w:r>
          </w:p>
        </w:tc>
        <w:tc>
          <w:tcPr/>
          <w:p>
            <w:pPr>
              <w:pStyle w:val="Compact"/>
              <w:jc w:val="left"/>
            </w:pPr>
            <w:r>
              <w:t xml:space="preserve">Electronic Components (PCB, chips)</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0.02</w:t>
            </w:r>
          </w:p>
        </w:tc>
        <w:tc>
          <w:tcPr/>
          <w:p>
            <w:pPr>
              <w:pStyle w:val="Compact"/>
              <w:jc w:val="left"/>
            </w:pPr>
            <w:r>
              <w:t xml:space="preserve">kg</w:t>
            </w:r>
          </w:p>
        </w:tc>
        <w:tc>
          <w:tcPr/>
          <w:p>
            <w:pPr>
              <w:pStyle w:val="Compact"/>
              <w:jc w:val="left"/>
            </w:pPr>
            <w:r>
              <w:t xml:space="preserve">20.0</w:t>
            </w:r>
          </w:p>
        </w:tc>
        <w:tc>
          <w:tcPr/>
          <w:p>
            <w:pPr>
              <w:pStyle w:val="Compact"/>
              <w:jc w:val="left"/>
            </w:pPr>
            <w:r>
              <w:t xml:space="preserve">0.400</w:t>
            </w:r>
          </w:p>
        </w:tc>
      </w:tr>
      <w:tr>
        <w:tc>
          <w:tcPr/>
          <w:p>
            <w:pPr>
              <w:pStyle w:val="Compact"/>
              <w:jc w:val="left"/>
            </w:pPr>
            <w:r>
              <w:t xml:space="preserve">M004</w:t>
            </w:r>
          </w:p>
        </w:tc>
        <w:tc>
          <w:tcPr/>
          <w:p>
            <w:pPr>
              <w:pStyle w:val="Compact"/>
              <w:jc w:val="left"/>
            </w:pPr>
            <w:r>
              <w:t xml:space="preserve">Packaging (Cardboard)</w:t>
            </w:r>
          </w:p>
        </w:tc>
        <w:tc>
          <w:tcPr/>
          <w:p>
            <w:pPr>
              <w:pStyle w:val="Compact"/>
              <w:jc w:val="left"/>
            </w:pPr>
            <w:r>
              <w:t xml:space="preserve">Packaging</w:t>
            </w:r>
          </w:p>
        </w:tc>
        <w:tc>
          <w:tcPr/>
          <w:p>
            <w:pPr>
              <w:pStyle w:val="Compact"/>
              <w:jc w:val="left"/>
            </w:pPr>
            <w:r>
              <w:t xml:space="preserve">Forming</w:t>
            </w:r>
          </w:p>
        </w:tc>
        <w:tc>
          <w:tcPr/>
          <w:p>
            <w:pPr>
              <w:pStyle w:val="Compact"/>
              <w:jc w:val="left"/>
            </w:pPr>
            <w:r>
              <w:t xml:space="preserve">0.03</w:t>
            </w:r>
          </w:p>
        </w:tc>
        <w:tc>
          <w:tcPr/>
          <w:p>
            <w:pPr>
              <w:pStyle w:val="Compact"/>
              <w:jc w:val="left"/>
            </w:pPr>
            <w:r>
              <w:t xml:space="preserve">kg</w:t>
            </w:r>
          </w:p>
        </w:tc>
        <w:tc>
          <w:tcPr/>
          <w:p>
            <w:pPr>
              <w:pStyle w:val="Compact"/>
              <w:jc w:val="left"/>
            </w:pPr>
            <w:r>
              <w:t xml:space="preserve">0.8</w:t>
            </w:r>
          </w:p>
        </w:tc>
        <w:tc>
          <w:tcPr/>
          <w:p>
            <w:pPr>
              <w:pStyle w:val="Compact"/>
              <w:jc w:val="left"/>
            </w:pPr>
            <w:r>
              <w:t xml:space="preserve">0.024</w:t>
            </w:r>
          </w:p>
        </w:tc>
      </w:tr>
      <w:tr>
        <w:tc>
          <w:tcPr>
            <w:gridSpan w:val="6"/>
          </w:tcPr>
          <w:p>
            <w:pPr>
              <w:pStyle w:val="Compact"/>
              <w:jc w:val="right"/>
            </w:pPr>
            <w:r>
              <w:rPr>
                <w:bCs/>
                <w:b/>
              </w:rPr>
              <w:t xml:space="preserve">Total Material Weight:</w:t>
            </w:r>
          </w:p>
        </w:tc>
        <w:tc>
          <w:tcPr/>
          <w:p>
            <w:pPr>
              <w:pStyle w:val="Compact"/>
              <w:jc w:val="left"/>
            </w:pPr>
            <w:r>
              <w:t xml:space="preserve">0.25 kg</w:t>
            </w:r>
          </w:p>
        </w:tc>
        <w:tc>
          <w:tcPr/>
          <w:p>
            <w:pPr>
              <w:pStyle w:val="Compact"/>
              <w:jc w:val="left"/>
            </w:pPr>
            <w:r>
              <w:rPr>
                <w:bCs/>
                <w:b/>
              </w:rPr>
              <w:t xml:space="preserve">1.099 kg CO2e</w:t>
            </w:r>
          </w:p>
        </w:tc>
      </w:tr>
    </w:tbl>
    <w:bookmarkEnd w:id="25"/>
    <w:bookmarkStart w:id="26" w:name="X7b2ff66167bb582998b49f7966ebed25d9b37d7"/>
    <w:p>
      <w:pPr>
        <w:pStyle w:val="Heading4"/>
      </w:pPr>
      <w:r>
        <w:t xml:space="preserve">Detailed Breakdown of Energy &amp; Logistics Inputs (Illustrative Data)</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Parameter</w:t>
            </w:r>
          </w:p>
        </w:tc>
        <w:tc>
          <w:tcPr/>
          <w:p>
            <w:pPr>
              <w:pStyle w:val="Compact"/>
              <w:jc w:val="left"/>
            </w:pPr>
            <w:r>
              <w:t xml:space="preserve">Value (Illustrative)</w:t>
            </w:r>
          </w:p>
        </w:tc>
        <w:tc>
          <w:tcPr/>
          <w:p>
            <w:pPr>
              <w:pStyle w:val="Compact"/>
              <w:jc w:val="left"/>
            </w:pPr>
            <w:r>
              <w:t xml:space="preserve">Unit</w:t>
            </w:r>
          </w:p>
        </w:tc>
        <w:tc>
          <w:tcPr/>
          <w:p>
            <w:pPr>
              <w:pStyle w:val="Compact"/>
              <w:jc w:val="left"/>
            </w:pPr>
            <w:r>
              <w:t xml:space="preserve">Source/Assumption</w:t>
            </w:r>
          </w:p>
        </w:tc>
      </w:tr>
      <w:tr>
        <w:tc>
          <w:tcPr/>
          <w:p>
            <w:pPr>
              <w:pStyle w:val="Compact"/>
              <w:jc w:val="left"/>
            </w:pPr>
            <w:r>
              <w:t xml:space="preserve">Renewable Energy Usage (`vlyzsisizx`)</w:t>
            </w:r>
          </w:p>
        </w:tc>
        <w:tc>
          <w:tcPr/>
          <w:p>
            <w:pPr>
              <w:pStyle w:val="Compact"/>
              <w:jc w:val="left"/>
            </w:pPr>
            <w:r>
              <w:t xml:space="preserve">40</w:t>
            </w:r>
          </w:p>
        </w:tc>
        <w:tc>
          <w:tcPr/>
          <w:p>
            <w:pPr>
              <w:pStyle w:val="Compact"/>
              <w:jc w:val="left"/>
            </w:pPr>
            <w:r>
              <w:t xml:space="preserve">%</w:t>
            </w:r>
          </w:p>
        </w:tc>
        <w:tc>
          <w:tcPr/>
          <w:p>
            <w:pPr>
              <w:pStyle w:val="Compact"/>
              <w:jc w:val="left"/>
            </w:pPr>
            <w:r>
              <w:t xml:space="preserve">Provided parameter (Illustrative)</w:t>
            </w:r>
          </w:p>
        </w:tc>
      </w:tr>
      <w:tr>
        <w:tc>
          <w:tcPr/>
          <w:p>
            <w:pPr>
              <w:pStyle w:val="Compact"/>
              <w:jc w:val="left"/>
            </w:pPr>
            <w:r>
              <w:t xml:space="preserve">Energy Intensity (`ixdlvrdexr`)</w:t>
            </w:r>
          </w:p>
        </w:tc>
        <w:tc>
          <w:tcPr/>
          <w:p>
            <w:pPr>
              <w:pStyle w:val="Compact"/>
              <w:jc w:val="left"/>
            </w:pPr>
            <w:r>
              <w:t xml:space="preserve">5</w:t>
            </w:r>
          </w:p>
        </w:tc>
        <w:tc>
          <w:tcPr/>
          <w:p>
            <w:pPr>
              <w:pStyle w:val="Compact"/>
              <w:jc w:val="left"/>
            </w:pPr>
            <w:r>
              <w:t xml:space="preserve">kWh/unit</w:t>
            </w:r>
          </w:p>
        </w:tc>
        <w:tc>
          <w:tcPr/>
          <w:p>
            <w:pPr>
              <w:pStyle w:val="Compact"/>
              <w:jc w:val="left"/>
            </w:pPr>
            <w:r>
              <w:t xml:space="preserve">Provided parameter (Illustrative)</w:t>
            </w:r>
          </w:p>
        </w:tc>
      </w:tr>
      <w:tr>
        <w:tc>
          <w:tcPr/>
          <w:p>
            <w:pPr>
              <w:pStyle w:val="Compact"/>
              <w:jc w:val="left"/>
            </w:pPr>
            <w:r>
              <w:t xml:space="preserve">Transport Mode (Upstream) (`Select Mode`)</w:t>
            </w:r>
          </w:p>
        </w:tc>
        <w:tc>
          <w:tcPr/>
          <w:p>
            <w:pPr>
              <w:pStyle w:val="Compact"/>
              <w:jc w:val="left"/>
            </w:pPr>
            <w:r>
              <w:t xml:space="preserve">Heavy Duty Truck</w:t>
            </w:r>
          </w:p>
        </w:tc>
        <w:tc>
          <w:tcPr/>
          <w:p>
            <w:pPr>
              <w:pStyle w:val="Compact"/>
              <w:jc w:val="left"/>
            </w:pPr>
            <w:r>
              <w:t xml:space="preserve">-</w:t>
            </w:r>
          </w:p>
        </w:tc>
        <w:tc>
          <w:tcPr/>
          <w:p>
            <w:pPr>
              <w:pStyle w:val="Compact"/>
              <w:jc w:val="left"/>
            </w:pPr>
            <w:r>
              <w:t xml:space="preserve">Assumed for "Select Mode"</w:t>
            </w:r>
          </w:p>
        </w:tc>
      </w:tr>
      <w:tr>
        <w:tc>
          <w:tcPr/>
          <w:p>
            <w:pPr>
              <w:pStyle w:val="Compact"/>
              <w:jc w:val="left"/>
            </w:pPr>
            <w:r>
              <w:t xml:space="preserve">Transport Distance (Upstream) (`yhxeuwuydt`)</w:t>
            </w:r>
          </w:p>
        </w:tc>
        <w:tc>
          <w:tcPr/>
          <w:p>
            <w:pPr>
              <w:pStyle w:val="Compact"/>
              <w:jc w:val="left"/>
            </w:pPr>
            <w:r>
              <w:t xml:space="preserve">2000</w:t>
            </w:r>
          </w:p>
        </w:tc>
        <w:tc>
          <w:tcPr/>
          <w:p>
            <w:pPr>
              <w:pStyle w:val="Compact"/>
              <w:jc w:val="left"/>
            </w:pPr>
            <w:r>
              <w:t xml:space="preserve">km</w:t>
            </w:r>
          </w:p>
        </w:tc>
        <w:tc>
          <w:tcPr/>
          <w:p>
            <w:pPr>
              <w:pStyle w:val="Compact"/>
              <w:jc w:val="left"/>
            </w:pPr>
            <w:r>
              <w:t xml:space="preserve">Provided parameter (Illustrative)</w:t>
            </w:r>
          </w:p>
        </w:tc>
      </w:tr>
      <w:tr>
        <w:tc>
          <w:tcPr/>
          <w:p>
            <w:pPr>
              <w:pStyle w:val="Compact"/>
              <w:jc w:val="left"/>
            </w:pPr>
            <w:r>
              <w:t xml:space="preserve">Last-Mile Delivery Channel (`Delivery Type`)</w:t>
            </w:r>
          </w:p>
        </w:tc>
        <w:tc>
          <w:tcPr/>
          <w:p>
            <w:pPr>
              <w:pStyle w:val="Compact"/>
              <w:jc w:val="left"/>
            </w:pPr>
            <w:r>
              <w:t xml:space="preserve">Parcel Van Delivery</w:t>
            </w:r>
          </w:p>
        </w:tc>
        <w:tc>
          <w:tcPr/>
          <w:p>
            <w:pPr>
              <w:pStyle w:val="Compact"/>
              <w:jc w:val="left"/>
            </w:pPr>
            <w:r>
              <w:t xml:space="preserve">-</w:t>
            </w:r>
          </w:p>
        </w:tc>
        <w:tc>
          <w:tcPr/>
          <w:p>
            <w:pPr>
              <w:pStyle w:val="Compact"/>
              <w:jc w:val="left"/>
            </w:pPr>
            <w:r>
              <w:t xml:space="preserve">Assumed for "Delivery Type"</w:t>
            </w:r>
          </w:p>
        </w:tc>
      </w:tr>
      <w:tr>
        <w:tc>
          <w:tcPr/>
          <w:p>
            <w:pPr>
              <w:pStyle w:val="Compact"/>
              <w:jc w:val="left"/>
            </w:pPr>
            <w:r>
              <w:t xml:space="preserve">Last-Mile Delivery Distance</w:t>
            </w:r>
          </w:p>
        </w:tc>
        <w:tc>
          <w:tcPr/>
          <w:p>
            <w:pPr>
              <w:pStyle w:val="Compact"/>
              <w:jc w:val="left"/>
            </w:pPr>
            <w:r>
              <w:t xml:space="preserve">50</w:t>
            </w:r>
          </w:p>
        </w:tc>
        <w:tc>
          <w:tcPr/>
          <w:p>
            <w:pPr>
              <w:pStyle w:val="Compact"/>
              <w:jc w:val="left"/>
            </w:pPr>
            <w:r>
              <w:t xml:space="preserve">km</w:t>
            </w:r>
          </w:p>
        </w:tc>
        <w:tc>
          <w:tcPr/>
          <w:p>
            <w:pPr>
              <w:pStyle w:val="Compact"/>
              <w:jc w:val="left"/>
            </w:pPr>
            <w:r>
              <w:t xml:space="preserve">Illustrative assumption</w:t>
            </w:r>
          </w:p>
        </w:tc>
      </w:tr>
      <w:tr>
        <w:tc>
          <w:tcPr/>
          <w:p>
            <w:pPr>
              <w:pStyle w:val="Compact"/>
              <w:jc w:val="left"/>
            </w:pPr>
            <w:r>
              <w:t xml:space="preserve">Product Lifespan (`ojvdowjies`)</w:t>
            </w:r>
          </w:p>
        </w:tc>
        <w:tc>
          <w:tcPr/>
          <w:p>
            <w:pPr>
              <w:pStyle w:val="Compact"/>
              <w:jc w:val="left"/>
            </w:pPr>
            <w:r>
              <w:t xml:space="preserve">3</w:t>
            </w:r>
          </w:p>
        </w:tc>
        <w:tc>
          <w:tcPr/>
          <w:p>
            <w:pPr>
              <w:pStyle w:val="Compact"/>
              <w:jc w:val="left"/>
            </w:pPr>
            <w:r>
              <w:t xml:space="preserve">years</w:t>
            </w:r>
          </w:p>
        </w:tc>
        <w:tc>
          <w:tcPr/>
          <w:p>
            <w:pPr>
              <w:pStyle w:val="Compact"/>
              <w:jc w:val="left"/>
            </w:pPr>
            <w:r>
              <w:t xml:space="preserve">Provided parameter (Illustrative)</w:t>
            </w:r>
          </w:p>
        </w:tc>
      </w:tr>
      <w:tr>
        <w:tc>
          <w:tcPr/>
          <w:p>
            <w:pPr>
              <w:pStyle w:val="Compact"/>
              <w:jc w:val="left"/>
            </w:pPr>
            <w:r>
              <w:t xml:space="preserve">Energy Consumption in Use (`ygejiysngu`)</w:t>
            </w:r>
          </w:p>
        </w:tc>
        <w:tc>
          <w:tcPr/>
          <w:p>
            <w:pPr>
              <w:pStyle w:val="Compact"/>
              <w:jc w:val="left"/>
            </w:pPr>
            <w:r>
              <w:t xml:space="preserve">10</w:t>
            </w:r>
          </w:p>
        </w:tc>
        <w:tc>
          <w:tcPr/>
          <w:p>
            <w:pPr>
              <w:pStyle w:val="Compact"/>
              <w:jc w:val="left"/>
            </w:pPr>
            <w:r>
              <w:t xml:space="preserve">kWh/year</w:t>
            </w:r>
          </w:p>
        </w:tc>
        <w:tc>
          <w:tcPr/>
          <w:p>
            <w:pPr>
              <w:pStyle w:val="Compact"/>
              <w:jc w:val="left"/>
            </w:pPr>
            <w:r>
              <w:t xml:space="preserve">Provided parameter (Illustrative)</w:t>
            </w:r>
          </w:p>
        </w:tc>
      </w:tr>
      <w:tr>
        <w:tc>
          <w:tcPr/>
          <w:p>
            <w:pPr>
              <w:pStyle w:val="Compact"/>
              <w:jc w:val="left"/>
            </w:pPr>
            <w:r>
              <w:t xml:space="preserve">Recyclability Percentage (`rxrmdvhpgw`)</w:t>
            </w:r>
          </w:p>
        </w:tc>
        <w:tc>
          <w:tcPr/>
          <w:p>
            <w:pPr>
              <w:pStyle w:val="Compact"/>
              <w:jc w:val="left"/>
            </w:pPr>
            <w:r>
              <w:t xml:space="preserve">60</w:t>
            </w:r>
          </w:p>
        </w:tc>
        <w:tc>
          <w:tcPr/>
          <w:p>
            <w:pPr>
              <w:pStyle w:val="Compact"/>
              <w:jc w:val="left"/>
            </w:pPr>
            <w:r>
              <w:t xml:space="preserve">%</w:t>
            </w:r>
          </w:p>
        </w:tc>
        <w:tc>
          <w:tcPr/>
          <w:p>
            <w:pPr>
              <w:pStyle w:val="Compact"/>
              <w:jc w:val="left"/>
            </w:pPr>
            <w:r>
              <w:t xml:space="preserve">Provided parameter (Illustrative)</w:t>
            </w:r>
          </w:p>
        </w:tc>
      </w:tr>
      <w:tr>
        <w:tc>
          <w:tcPr/>
          <w:p>
            <w:pPr>
              <w:pStyle w:val="Compact"/>
              <w:jc w:val="left"/>
            </w:pPr>
            <w:r>
              <w:t xml:space="preserve">Circular/Take-back Programs (`iqwqtrqjkw`)</w:t>
            </w:r>
          </w:p>
        </w:tc>
        <w:tc>
          <w:tcPr/>
          <w:p>
            <w:pPr>
              <w:pStyle w:val="Compact"/>
              <w:jc w:val="left"/>
            </w:pPr>
            <w:r>
              <w:t xml:space="preserve">Yes</w:t>
            </w:r>
          </w:p>
        </w:tc>
        <w:tc>
          <w:tcPr/>
          <w:p>
            <w:pPr>
              <w:pStyle w:val="Compact"/>
              <w:jc w:val="left"/>
            </w:pPr>
            <w:r>
              <w:t xml:space="preserve">-</w:t>
            </w:r>
          </w:p>
        </w:tc>
        <w:tc>
          <w:tcPr/>
          <w:p>
            <w:pPr>
              <w:pStyle w:val="Compact"/>
              <w:jc w:val="left"/>
            </w:pPr>
            <w:r>
              <w:t xml:space="preserve">Provided parameter</w:t>
            </w:r>
          </w:p>
        </w:tc>
      </w:tr>
    </w:tbl>
    <w:bookmarkEnd w:id="26"/>
    <w:bookmarkStart w:id="27" w:name="X5c38977b1aa23f68d4a4184d7369db86262ec77"/>
    <w:p>
      <w:pPr>
        <w:pStyle w:val="Heading4"/>
      </w:pPr>
      <w:r>
        <w:t xml:space="preserve">Emission Factors Used (Industry Standard / Illustrative)</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Category</w:t>
            </w:r>
          </w:p>
        </w:tc>
        <w:tc>
          <w:tcPr/>
          <w:p>
            <w:pPr>
              <w:pStyle w:val="Compact"/>
              <w:jc w:val="left"/>
            </w:pPr>
            <w:r>
              <w:t xml:space="preserve">Emission Factor</w:t>
            </w:r>
          </w:p>
        </w:tc>
        <w:tc>
          <w:tcPr/>
          <w:p>
            <w:pPr>
              <w:pStyle w:val="Compact"/>
              <w:jc w:val="left"/>
            </w:pPr>
            <w:r>
              <w:t xml:space="preserve">Unit</w:t>
            </w:r>
          </w:p>
        </w:tc>
        <w:tc>
          <w:tcPr/>
          <w:p>
            <w:pPr>
              <w:pStyle w:val="Compact"/>
              <w:jc w:val="left"/>
            </w:pPr>
            <w:r>
              <w:t xml:space="preserve">Source</w:t>
            </w:r>
          </w:p>
        </w:tc>
      </w:tr>
      <w:tr>
        <w:tc>
          <w:tcPr/>
          <w:p>
            <w:pPr>
              <w:pStyle w:val="Compact"/>
              <w:jc w:val="left"/>
            </w:pPr>
            <w:r>
              <w:t xml:space="preserve">Electricity Grid (China)</w:t>
            </w:r>
          </w:p>
        </w:tc>
        <w:tc>
          <w:tcPr/>
          <w:p>
            <w:pPr>
              <w:pStyle w:val="Compact"/>
              <w:jc w:val="left"/>
            </w:pPr>
            <w:r>
              <w:t xml:space="preserve">0.6205</w:t>
            </w:r>
          </w:p>
        </w:tc>
        <w:tc>
          <w:tcPr/>
          <w:p>
            <w:pPr>
              <w:pStyle w:val="Compact"/>
              <w:jc w:val="left"/>
            </w:pPr>
            <w:r>
              <w:t xml:space="preserve">kg CO2e/kWh</w:t>
            </w:r>
          </w:p>
        </w:tc>
        <w:tc>
          <w:tcPr/>
          <w:p>
            <w:pPr>
              <w:pStyle w:val="Compact"/>
              <w:jc w:val="left"/>
            </w:pPr>
            <w:r>
              <w:t xml:space="preserve">National Average (2023)</w:t>
            </w:r>
          </w:p>
        </w:tc>
      </w:tr>
      <w:tr>
        <w:tc>
          <w:tcPr/>
          <w:p>
            <w:pPr>
              <w:pStyle w:val="Compact"/>
              <w:jc w:val="left"/>
            </w:pPr>
            <w:r>
              <w:t xml:space="preserve">Renewable Energy (residual)</w:t>
            </w:r>
          </w:p>
        </w:tc>
        <w:tc>
          <w:tcPr/>
          <w:p>
            <w:pPr>
              <w:pStyle w:val="Compact"/>
              <w:jc w:val="left"/>
            </w:pPr>
            <w:r>
              <w:t xml:space="preserve">0.04</w:t>
            </w:r>
          </w:p>
        </w:tc>
        <w:tc>
          <w:tcPr/>
          <w:p>
            <w:pPr>
              <w:pStyle w:val="Compact"/>
              <w:jc w:val="left"/>
            </w:pPr>
            <w:r>
              <w:t xml:space="preserve">kg CO2e/kWh</w:t>
            </w:r>
          </w:p>
        </w:tc>
        <w:tc>
          <w:tcPr/>
          <w:p>
            <w:pPr>
              <w:pStyle w:val="Compact"/>
              <w:jc w:val="left"/>
            </w:pPr>
            <w:r>
              <w:t xml:space="preserve">Illustrative (based on wind/solar)</w:t>
            </w:r>
          </w:p>
        </w:tc>
      </w:tr>
      <w:tr>
        <w:tc>
          <w:tcPr/>
          <w:p>
            <w:pPr>
              <w:pStyle w:val="Compact"/>
              <w:jc w:val="left"/>
            </w:pPr>
            <w:r>
              <w:t xml:space="preserve">Heavy Duty Truck</w:t>
            </w:r>
          </w:p>
        </w:tc>
        <w:tc>
          <w:tcPr/>
          <w:p>
            <w:pPr>
              <w:pStyle w:val="Compact"/>
              <w:jc w:val="left"/>
            </w:pPr>
            <w:r>
              <w:t xml:space="preserve">0.1</w:t>
            </w:r>
          </w:p>
        </w:tc>
        <w:tc>
          <w:tcPr/>
          <w:p>
            <w:pPr>
              <w:pStyle w:val="Compact"/>
              <w:jc w:val="left"/>
            </w:pPr>
            <w:r>
              <w:t xml:space="preserve">kg CO2e/tonne-km</w:t>
            </w:r>
          </w:p>
        </w:tc>
        <w:tc>
          <w:tcPr/>
          <w:p>
            <w:pPr>
              <w:pStyle w:val="Compact"/>
              <w:jc w:val="left"/>
            </w:pPr>
            <w:r>
              <w:t xml:space="preserve">Illustrative (GHG Protocol/CN Rail range)</w:t>
            </w:r>
          </w:p>
        </w:tc>
      </w:tr>
      <w:tr>
        <w:tc>
          <w:tcPr/>
          <w:p>
            <w:pPr>
              <w:pStyle w:val="Compact"/>
              <w:jc w:val="left"/>
            </w:pPr>
            <w:r>
              <w:t xml:space="preserve">Parcel Van Delivery (Last-Mile)</w:t>
            </w:r>
          </w:p>
        </w:tc>
        <w:tc>
          <w:tcPr/>
          <w:p>
            <w:pPr>
              <w:pStyle w:val="Compact"/>
              <w:jc w:val="left"/>
            </w:pPr>
            <w:r>
              <w:t xml:space="preserve">0.15</w:t>
            </w:r>
          </w:p>
        </w:tc>
        <w:tc>
          <w:tcPr/>
          <w:p>
            <w:pPr>
              <w:pStyle w:val="Compact"/>
              <w:jc w:val="left"/>
            </w:pPr>
            <w:r>
              <w:t xml:space="preserve">kg CO2e/parcel</w:t>
            </w:r>
          </w:p>
        </w:tc>
        <w:tc>
          <w:tcPr/>
          <w:p>
            <w:pPr>
              <w:pStyle w:val="Compact"/>
              <w:jc w:val="left"/>
            </w:pPr>
            <w:r>
              <w:t xml:space="preserve">Average emissions per parcel</w:t>
            </w:r>
          </w:p>
        </w:tc>
      </w:tr>
      <w:tr>
        <w:tc>
          <w:tcPr/>
          <w:p>
            <w:pPr>
              <w:pStyle w:val="Compact"/>
              <w:jc w:val="left"/>
            </w:pPr>
            <w:r>
              <w:t xml:space="preserve">Waste Treatment (Landfill/Incineration)</w:t>
            </w:r>
          </w:p>
        </w:tc>
        <w:tc>
          <w:tcPr/>
          <w:p>
            <w:pPr>
              <w:pStyle w:val="Compact"/>
              <w:jc w:val="left"/>
            </w:pPr>
            <w:r>
              <w:t xml:space="preserve">0.5</w:t>
            </w:r>
          </w:p>
        </w:tc>
        <w:tc>
          <w:tcPr/>
          <w:p>
            <w:pPr>
              <w:pStyle w:val="Compact"/>
              <w:jc w:val="left"/>
            </w:pPr>
            <w:r>
              <w:t xml:space="preserve">kg CO2e/kg</w:t>
            </w:r>
          </w:p>
        </w:tc>
        <w:tc>
          <w:tcPr/>
          <w:p>
            <w:pPr>
              <w:pStyle w:val="Compact"/>
              <w:jc w:val="left"/>
            </w:pPr>
            <w:r>
              <w:t xml:space="preserve">Illustrative</w:t>
            </w:r>
          </w:p>
        </w:tc>
      </w:tr>
      <w:tr>
        <w:tc>
          <w:tcPr/>
          <w:p>
            <w:pPr>
              <w:pStyle w:val="Compact"/>
              <w:jc w:val="left"/>
            </w:pPr>
            <w:r>
              <w:t xml:space="preserve">Avoided Emissions (Recycling)</w:t>
            </w:r>
          </w:p>
        </w:tc>
        <w:tc>
          <w:tcPr/>
          <w:p>
            <w:pPr>
              <w:pStyle w:val="Compact"/>
              <w:jc w:val="left"/>
            </w:pPr>
            <w:r>
              <w:t xml:space="preserve">-1.5</w:t>
            </w:r>
          </w:p>
        </w:tc>
        <w:tc>
          <w:tcPr/>
          <w:p>
            <w:pPr>
              <w:pStyle w:val="Compact"/>
              <w:jc w:val="left"/>
            </w:pPr>
            <w:r>
              <w:t xml:space="preserve">kg CO2e/kg</w:t>
            </w:r>
          </w:p>
        </w:tc>
        <w:tc>
          <w:tcPr/>
          <w:p>
            <w:pPr>
              <w:pStyle w:val="Compact"/>
              <w:jc w:val="left"/>
            </w:pPr>
            <w:r>
              <w:t xml:space="preserve">Illustrative average for mixed materials</w:t>
            </w:r>
          </w:p>
        </w:tc>
      </w:tr>
    </w:tbl>
    <w:bookmarkEnd w:id="27"/>
    <w:bookmarkEnd w:id="28"/>
    <w:bookmarkStart w:id="35" w:name="Xa991e7faf76bdf88064e0090ec77f0e137174e3"/>
    <w:p>
      <w:pPr>
        <w:pStyle w:val="Heading3"/>
      </w:pPr>
      <w:r>
        <w:t xml:space="preserve">2.4. Step 4: Calculate Emissions (Activity * Emission Factor = CO2e)</w:t>
      </w:r>
    </w:p>
    <w:p>
      <w:pPr>
        <w:pStyle w:val="FirstParagraph"/>
      </w:pPr>
      <w:r>
        <w:t xml:space="preserve">Emissions are calculated for each lifecycle stage based on the collected activity data and the applied emission factors. All calculations are performed for a single functional unit of lfvqpqpgdl.</w:t>
      </w:r>
    </w:p>
    <w:bookmarkStart w:id="29" w:name="X1198c8af25dd1a2ebffa686809674f976343a37"/>
    <w:p>
      <w:pPr>
        <w:pStyle w:val="Heading4"/>
      </w:pPr>
      <w:r>
        <w:t xml:space="preserve">Material Acquisition &amp; Pre-processing (Scope 3 - Upstream)</w:t>
      </w:r>
    </w:p>
    <w:p>
      <w:pPr>
        <w:pStyle w:val="FirstParagraph"/>
      </w:pPr>
      <w:r>
        <w:t xml:space="preserve">Based on the illustrative BOM, the total carbon from raw materials is</w:t>
      </w:r>
      <w:r>
        <w:t xml:space="preserve"> </w:t>
      </w:r>
      <w:r>
        <w:rPr>
          <w:bCs/>
          <w:b/>
        </w:rPr>
        <w:t xml:space="preserve">1.099 kg CO2e</w:t>
      </w:r>
      <w:r>
        <w:t xml:space="preserve">.</w:t>
      </w:r>
    </w:p>
    <w:bookmarkEnd w:id="29"/>
    <w:bookmarkStart w:id="30" w:name="manufacturingproduction-scope-1-2"/>
    <w:p>
      <w:pPr>
        <w:pStyle w:val="Heading4"/>
      </w:pPr>
      <w:r>
        <w:t xml:space="preserve">Manufacturing/Production (Scope 1 &amp; 2)</w:t>
      </w:r>
    </w:p>
    <w:p>
      <w:pPr>
        <w:numPr>
          <w:ilvl w:val="0"/>
          <w:numId w:val="1003"/>
        </w:numPr>
        <w:pStyle w:val="Compact"/>
      </w:pPr>
      <w:r>
        <w:t xml:space="preserve">Total Energy Consumption: 5 kWh/unit</w:t>
      </w:r>
    </w:p>
    <w:p>
      <w:pPr>
        <w:numPr>
          <w:ilvl w:val="0"/>
          <w:numId w:val="1003"/>
        </w:numPr>
        <w:pStyle w:val="Compact"/>
      </w:pPr>
      <w:r>
        <w:t xml:space="preserve">Renewable Energy Used: 5 kWh * 40% = 2 kWh</w:t>
      </w:r>
    </w:p>
    <w:p>
      <w:pPr>
        <w:numPr>
          <w:ilvl w:val="0"/>
          <w:numId w:val="1003"/>
        </w:numPr>
        <w:pStyle w:val="Compact"/>
      </w:pPr>
      <w:r>
        <w:t xml:space="preserve">Grid Electricity Used: 5 kWh * 60% = 3 kWh</w:t>
      </w:r>
    </w:p>
    <w:p>
      <w:pPr>
        <w:numPr>
          <w:ilvl w:val="0"/>
          <w:numId w:val="1003"/>
        </w:numPr>
        <w:pStyle w:val="Compact"/>
      </w:pPr>
      <w:r>
        <w:t xml:space="preserve">Emissions from Grid Electricity: 3 kWh * 0.6205 kg CO2e/kWh = 1.8615 kg CO2e</w:t>
      </w:r>
    </w:p>
    <w:p>
      <w:pPr>
        <w:numPr>
          <w:ilvl w:val="0"/>
          <w:numId w:val="1003"/>
        </w:numPr>
        <w:pStyle w:val="Compact"/>
      </w:pPr>
      <w:r>
        <w:t xml:space="preserve">Emissions from Renewable Energy (residual): 2 kWh * 0.04 kg CO2e/kWh = 0.08 kg CO2e</w:t>
      </w:r>
    </w:p>
    <w:p>
      <w:pPr>
        <w:numPr>
          <w:ilvl w:val="0"/>
          <w:numId w:val="1003"/>
        </w:numPr>
        <w:pStyle w:val="Compact"/>
      </w:pPr>
      <w:r>
        <w:rPr>
          <w:bCs/>
          <w:b/>
        </w:rPr>
        <w:t xml:space="preserve">Total Manufacturing Emissions: 1.8615 + 0.08 = 1.9415 kg CO2e</w:t>
      </w:r>
    </w:p>
    <w:bookmarkEnd w:id="30"/>
    <w:bookmarkStart w:id="31" w:name="transport-scope-3---upstream-downstream"/>
    <w:p>
      <w:pPr>
        <w:pStyle w:val="Heading4"/>
      </w:pPr>
      <w:r>
        <w:t xml:space="preserve">Transport (Scope 3 - Upstream &amp; Downstream)</w:t>
      </w:r>
    </w:p>
    <w:p>
      <w:pPr>
        <w:numPr>
          <w:ilvl w:val="0"/>
          <w:numId w:val="1004"/>
        </w:numPr>
        <w:pStyle w:val="Compact"/>
      </w:pPr>
      <w:r>
        <w:t xml:space="preserve">Total Product Weight: 0.25 kg</w:t>
      </w:r>
    </w:p>
    <w:p>
      <w:pPr>
        <w:numPr>
          <w:ilvl w:val="0"/>
          <w:numId w:val="1004"/>
        </w:numPr>
        <w:pStyle w:val="Compact"/>
      </w:pPr>
      <w:r>
        <w:t xml:space="preserve">Upstream Transport (Materials to Factory Gate):</w:t>
      </w:r>
    </w:p>
    <w:p>
      <w:pPr>
        <w:numPr>
          <w:ilvl w:val="1"/>
          <w:numId w:val="1005"/>
        </w:numPr>
        <w:pStyle w:val="Compact"/>
      </w:pPr>
      <w:r>
        <w:t xml:space="preserve">Distance: 2000 km</w:t>
      </w:r>
    </w:p>
    <w:p>
      <w:pPr>
        <w:numPr>
          <w:ilvl w:val="1"/>
          <w:numId w:val="1005"/>
        </w:numPr>
        <w:pStyle w:val="Compact"/>
      </w:pPr>
      <w:r>
        <w:t xml:space="preserve">Emission Factor: 0.1 kg CO2e/tonne-km</w:t>
      </w:r>
    </w:p>
    <w:p>
      <w:pPr>
        <w:numPr>
          <w:ilvl w:val="1"/>
          <w:numId w:val="1005"/>
        </w:numPr>
        <w:pStyle w:val="Compact"/>
      </w:pPr>
      <w:r>
        <w:t xml:space="preserve">Emissions: (0.25 kg / 1000 kg/tonne) * 2000 km * 0.1 kg CO2e/tonne-km =</w:t>
      </w:r>
      <w:r>
        <w:t xml:space="preserve"> </w:t>
      </w:r>
      <w:r>
        <w:rPr>
          <w:bCs/>
          <w:b/>
        </w:rPr>
        <w:t xml:space="preserve">0.05 kg CO2e</w:t>
      </w:r>
    </w:p>
    <w:p>
      <w:pPr>
        <w:numPr>
          <w:ilvl w:val="0"/>
          <w:numId w:val="1004"/>
        </w:numPr>
        <w:pStyle w:val="Compact"/>
      </w:pPr>
      <w:r>
        <w:t xml:space="preserve">Downstream Transport (Last-Mile Delivery):</w:t>
      </w:r>
    </w:p>
    <w:p>
      <w:pPr>
        <w:numPr>
          <w:ilvl w:val="1"/>
          <w:numId w:val="1006"/>
        </w:numPr>
        <w:pStyle w:val="Compact"/>
      </w:pPr>
      <w:r>
        <w:t xml:space="preserve">Delivery Type: Parcel Van Delivery</w:t>
      </w:r>
    </w:p>
    <w:p>
      <w:pPr>
        <w:numPr>
          <w:ilvl w:val="1"/>
          <w:numId w:val="1006"/>
        </w:numPr>
        <w:pStyle w:val="Compact"/>
      </w:pPr>
      <w:r>
        <w:t xml:space="preserve">Emissions: 0.15 kg CO2e/parcel (for 1 unit) =</w:t>
      </w:r>
      <w:r>
        <w:t xml:space="preserve"> </w:t>
      </w:r>
      <w:r>
        <w:rPr>
          <w:bCs/>
          <w:b/>
        </w:rPr>
        <w:t xml:space="preserve">0.15 kg CO2e</w:t>
      </w:r>
    </w:p>
    <w:p>
      <w:pPr>
        <w:numPr>
          <w:ilvl w:val="0"/>
          <w:numId w:val="1004"/>
        </w:numPr>
        <w:pStyle w:val="Compact"/>
      </w:pPr>
      <w:r>
        <w:rPr>
          <w:bCs/>
          <w:b/>
        </w:rPr>
        <w:t xml:space="preserve">Total Transport Emissions: 0.05 + 0.15 = 0.20 kg CO2e</w:t>
      </w:r>
    </w:p>
    <w:bookmarkEnd w:id="31"/>
    <w:bookmarkStart w:id="32" w:name="use-phase-scope-3---downstream"/>
    <w:p>
      <w:pPr>
        <w:pStyle w:val="Heading4"/>
      </w:pPr>
      <w:r>
        <w:t xml:space="preserve">Use Phase (Scope 3 - Downstream)</w:t>
      </w:r>
    </w:p>
    <w:p>
      <w:pPr>
        <w:numPr>
          <w:ilvl w:val="0"/>
          <w:numId w:val="1007"/>
        </w:numPr>
        <w:pStyle w:val="Compact"/>
      </w:pPr>
      <w:r>
        <w:t xml:space="preserve">Product Lifespan: 3 years</w:t>
      </w:r>
    </w:p>
    <w:p>
      <w:pPr>
        <w:numPr>
          <w:ilvl w:val="0"/>
          <w:numId w:val="1007"/>
        </w:numPr>
        <w:pStyle w:val="Compact"/>
      </w:pPr>
      <w:r>
        <w:t xml:space="preserve">Energy Consumption in Use: 10 kWh/year</w:t>
      </w:r>
    </w:p>
    <w:p>
      <w:pPr>
        <w:numPr>
          <w:ilvl w:val="0"/>
          <w:numId w:val="1007"/>
        </w:numPr>
        <w:pStyle w:val="Compact"/>
      </w:pPr>
      <w:r>
        <w:t xml:space="preserve">Total Energy Consumption over Lifespan: 3 years * 10 kWh/year = 30 kWh</w:t>
      </w:r>
    </w:p>
    <w:p>
      <w:pPr>
        <w:numPr>
          <w:ilvl w:val="0"/>
          <w:numId w:val="1007"/>
        </w:numPr>
        <w:pStyle w:val="Compact"/>
      </w:pPr>
      <w:r>
        <w:t xml:space="preserve">Emissions: 30 kWh * 0.6205 kg CO2e/kWh =</w:t>
      </w:r>
      <w:r>
        <w:t xml:space="preserve"> </w:t>
      </w:r>
      <w:r>
        <w:rPr>
          <w:bCs/>
          <w:b/>
        </w:rPr>
        <w:t xml:space="preserve">18.615 kg CO2e</w:t>
      </w:r>
    </w:p>
    <w:bookmarkEnd w:id="32"/>
    <w:bookmarkStart w:id="33" w:name="end-of-life-eol-scope-3---downstream"/>
    <w:p>
      <w:pPr>
        <w:pStyle w:val="Heading4"/>
      </w:pPr>
      <w:r>
        <w:t xml:space="preserve">End-of-Life (EoL) (Scope 3 - Downstream)</w:t>
      </w:r>
    </w:p>
    <w:p>
      <w:pPr>
        <w:numPr>
          <w:ilvl w:val="0"/>
          <w:numId w:val="1008"/>
        </w:numPr>
        <w:pStyle w:val="Compact"/>
      </w:pPr>
      <w:r>
        <w:t xml:space="preserve">Total Product Weight: 0.25 kg</w:t>
      </w:r>
    </w:p>
    <w:p>
      <w:pPr>
        <w:numPr>
          <w:ilvl w:val="0"/>
          <w:numId w:val="1008"/>
        </w:numPr>
        <w:pStyle w:val="Compact"/>
      </w:pPr>
      <w:r>
        <w:t xml:space="preserve">Recyclability Percentage: 60%</w:t>
      </w:r>
    </w:p>
    <w:p>
      <w:pPr>
        <w:numPr>
          <w:ilvl w:val="0"/>
          <w:numId w:val="1008"/>
        </w:numPr>
        <w:pStyle w:val="Compact"/>
      </w:pPr>
      <w:r>
        <w:t xml:space="preserve">Weight Recycled: 0.25 kg * 0.60 = 0.15 kg</w:t>
      </w:r>
    </w:p>
    <w:p>
      <w:pPr>
        <w:numPr>
          <w:ilvl w:val="0"/>
          <w:numId w:val="1008"/>
        </w:numPr>
        <w:pStyle w:val="Compact"/>
      </w:pPr>
      <w:r>
        <w:t xml:space="preserve">Weight Disposed: 0.25 kg * 0.40 = 0.10 kg</w:t>
      </w:r>
    </w:p>
    <w:p>
      <w:pPr>
        <w:numPr>
          <w:ilvl w:val="0"/>
          <w:numId w:val="1008"/>
        </w:numPr>
        <w:pStyle w:val="Compact"/>
      </w:pPr>
      <w:r>
        <w:t xml:space="preserve">Emissions from Disposal: 0.10 kg * 0.5 kg CO2e/kg = 0.05 kg CO2e</w:t>
      </w:r>
    </w:p>
    <w:p>
      <w:pPr>
        <w:numPr>
          <w:ilvl w:val="0"/>
          <w:numId w:val="1008"/>
        </w:numPr>
        <w:pStyle w:val="Compact"/>
      </w:pPr>
      <w:r>
        <w:t xml:space="preserve">Avoided Emissions from Recycling (with Take-back Programs): 0.15 kg * -1.5 kg CO2e/kg = -0.225 kg CO2e</w:t>
      </w:r>
    </w:p>
    <w:p>
      <w:pPr>
        <w:numPr>
          <w:ilvl w:val="0"/>
          <w:numId w:val="1008"/>
        </w:numPr>
        <w:pStyle w:val="Compact"/>
      </w:pPr>
      <w:r>
        <w:rPr>
          <w:bCs/>
          <w:b/>
        </w:rPr>
        <w:t xml:space="preserve">Total EoL Emissions: 0.05 + (-0.225) = -0.175 kg CO2e (net saving)</w:t>
      </w:r>
    </w:p>
    <w:bookmarkEnd w:id="33"/>
    <w:bookmarkStart w:id="34" w:name="X94e4755688128ea3b5793b95277d5b9a5cb2ef1"/>
    <w:p>
      <w:pPr>
        <w:pStyle w:val="Heading4"/>
      </w:pPr>
      <w:r>
        <w:t xml:space="preserve">Total Product Carbon Footprint (Cradle-to-Grave)</w:t>
      </w:r>
    </w:p>
    <w:p>
      <w:pPr>
        <w:pStyle w:val="FirstParagraph"/>
      </w:pPr>
      <w:r>
        <w:t xml:space="preserve">Summing up emissions from all stages:</w:t>
      </w:r>
    </w:p>
    <w:p>
      <w:pPr>
        <w:numPr>
          <w:ilvl w:val="0"/>
          <w:numId w:val="1009"/>
        </w:numPr>
        <w:pStyle w:val="Compact"/>
      </w:pPr>
      <w:r>
        <w:t xml:space="preserve">Materials: 1.099 kg CO2e</w:t>
      </w:r>
    </w:p>
    <w:p>
      <w:pPr>
        <w:numPr>
          <w:ilvl w:val="0"/>
          <w:numId w:val="1009"/>
        </w:numPr>
        <w:pStyle w:val="Compact"/>
      </w:pPr>
      <w:r>
        <w:t xml:space="preserve">Manufacturing: 1.9415 kg CO2e</w:t>
      </w:r>
    </w:p>
    <w:p>
      <w:pPr>
        <w:numPr>
          <w:ilvl w:val="0"/>
          <w:numId w:val="1009"/>
        </w:numPr>
        <w:pStyle w:val="Compact"/>
      </w:pPr>
      <w:r>
        <w:t xml:space="preserve">Transport: 0.20 kg CO2e</w:t>
      </w:r>
    </w:p>
    <w:p>
      <w:pPr>
        <w:numPr>
          <w:ilvl w:val="0"/>
          <w:numId w:val="1009"/>
        </w:numPr>
        <w:pStyle w:val="Compact"/>
      </w:pPr>
      <w:r>
        <w:t xml:space="preserve">Use Phase: 18.615 kg CO2e</w:t>
      </w:r>
    </w:p>
    <w:p>
      <w:pPr>
        <w:numPr>
          <w:ilvl w:val="0"/>
          <w:numId w:val="1009"/>
        </w:numPr>
        <w:pStyle w:val="Compact"/>
      </w:pPr>
      <w:r>
        <w:t xml:space="preserve">End-of-Life: -0.175 kg CO2e</w:t>
      </w:r>
    </w:p>
    <w:p>
      <w:pPr>
        <w:pStyle w:val="FirstParagraph"/>
      </w:pPr>
      <w:r>
        <w:rPr>
          <w:bCs/>
          <w:b/>
        </w:rPr>
        <w:t xml:space="preserve">Total PCF for lfvqpqpgdl: 1.099 + 1.9415 + 0.20 + 18.615 - 0.175 = 21.6805 kg CO2e per functional unit.</w:t>
      </w:r>
    </w:p>
    <w:p>
      <w:r>
        <w:pict>
          <v:rect style="width:0;height:1.5pt" o:hralign="center" o:hrstd="t" o:hr="t"/>
        </w:pict>
      </w:r>
    </w:p>
    <w:bookmarkEnd w:id="34"/>
    <w:bookmarkEnd w:id="35"/>
    <w:bookmarkEnd w:id="36"/>
    <w:bookmarkStart w:id="40" w:name="ghg-protocol-categorization"/>
    <w:p>
      <w:pPr>
        <w:pStyle w:val="Heading2"/>
      </w:pPr>
      <w:r>
        <w:t xml:space="preserve">3. GHG Protocol Categorization</w:t>
      </w:r>
    </w:p>
    <w:p>
      <w:pPr>
        <w:pStyle w:val="FirstParagraph"/>
      </w:pPr>
      <w:r>
        <w:t xml:space="preserve">Emissions are categorized according to the GHG Protocol\'s Scope 1, Scope 2, and Scope 3 framework:</w:t>
      </w:r>
    </w:p>
    <w:p>
      <w:pPr>
        <w:numPr>
          <w:ilvl w:val="0"/>
          <w:numId w:val="1010"/>
        </w:numPr>
        <w:pStyle w:val="Compact"/>
      </w:pPr>
      <w:r>
        <w:rPr>
          <w:bCs/>
          <w:b/>
        </w:rPr>
        <w:t xml:space="preserve">Scope 1 (Direct Emissions):</w:t>
      </w:r>
      <w:r>
        <w:t xml:space="preserve"> </w:t>
      </w:r>
      <w:r>
        <w:t xml:space="preserve">Emissions from sources owned or controlled by qvishkuxff. For this PCF, assuming direct combustion emissions at the factory are negligible or captured within energy intensity, the primary emissions here would be from company-owned vehicles, which are not explicitly detailed but are part of the broader transport. For simplicity in this product-level analysis, direct manufacturing emissions (e.g., from burning fuel on-site) are not separately calculated without specific data, but rather subsumed under the energy intensity. If qvishkuxff operates its own delivery fleet as part of last-mile, a portion of the transport emissions would be Scope 1. For a cradle-to-grave PCF, most emissions fall into Scope 3.</w:t>
      </w:r>
    </w:p>
    <w:p>
      <w:pPr>
        <w:numPr>
          <w:ilvl w:val="0"/>
          <w:numId w:val="1010"/>
        </w:numPr>
        <w:pStyle w:val="Compact"/>
      </w:pPr>
      <w:r>
        <w:rPr>
          <w:bCs/>
          <w:b/>
        </w:rPr>
        <w:t xml:space="preserve">Scope 2 (Indirect Emissions from Purchased Energy):</w:t>
      </w:r>
      <w:r>
        <w:t xml:space="preserve"> </w:t>
      </w:r>
      <w:r>
        <w:t xml:space="preserve">Emissions from the generation of purchased electricity consumed by qvishkuxff\'s manufacturing operations.</w:t>
      </w:r>
    </w:p>
    <w:p>
      <w:pPr>
        <w:numPr>
          <w:ilvl w:val="1"/>
          <w:numId w:val="1011"/>
        </w:numPr>
        <w:pStyle w:val="Compact"/>
      </w:pPr>
      <w:r>
        <w:t xml:space="preserve">From Manufacturing Electricity: 1.8615 kg CO2e (Grid Electricity)</w:t>
      </w:r>
    </w:p>
    <w:p>
      <w:pPr>
        <w:numPr>
          <w:ilvl w:val="0"/>
          <w:numId w:val="1010"/>
        </w:numPr>
        <w:pStyle w:val="Compact"/>
      </w:pPr>
      <w:r>
        <w:rPr>
          <w:bCs/>
          <w:b/>
        </w:rPr>
        <w:t xml:space="preserve">Scope 3 (Other Indirect Emissions from Value Chain):</w:t>
      </w:r>
      <w:r>
        <w:t xml:space="preserve"> </w:t>
      </w:r>
      <w:r>
        <w:t xml:space="preserve">All other indirect emissions both upstream and downstream from qvishkuxff\'s operations.</w:t>
      </w:r>
    </w:p>
    <w:p>
      <w:pPr>
        <w:numPr>
          <w:ilvl w:val="1"/>
          <w:numId w:val="1012"/>
        </w:numPr>
        <w:pStyle w:val="Compact"/>
      </w:pPr>
      <w:r>
        <w:t xml:space="preserve">Material Acquisition &amp; Pre-processing: 1.099 kg CO2e</w:t>
      </w:r>
    </w:p>
    <w:p>
      <w:pPr>
        <w:numPr>
          <w:ilvl w:val="1"/>
          <w:numId w:val="1012"/>
        </w:numPr>
        <w:pStyle w:val="Compact"/>
      </w:pPr>
      <w:r>
        <w:t xml:space="preserve">Upstream Transport: 0.05 kg CO2e</w:t>
      </w:r>
    </w:p>
    <w:p>
      <w:pPr>
        <w:numPr>
          <w:ilvl w:val="1"/>
          <w:numId w:val="1012"/>
        </w:numPr>
        <w:pStyle w:val="Compact"/>
      </w:pPr>
      <w:r>
        <w:t xml:space="preserve">Downstream Transport (Last-Mile Delivery): 0.15 kg CO2e</w:t>
      </w:r>
    </w:p>
    <w:p>
      <w:pPr>
        <w:numPr>
          <w:ilvl w:val="1"/>
          <w:numId w:val="1012"/>
        </w:numPr>
        <w:pStyle w:val="Compact"/>
      </w:pPr>
      <w:r>
        <w:t xml:space="preserve">Use Phase: 18.615 kg CO2e</w:t>
      </w:r>
    </w:p>
    <w:p>
      <w:pPr>
        <w:numPr>
          <w:ilvl w:val="1"/>
          <w:numId w:val="1012"/>
        </w:numPr>
        <w:pStyle w:val="Compact"/>
      </w:pPr>
      <w:r>
        <w:t xml:space="preserve">End-of-Life: -0.175 kg CO2e</w:t>
      </w:r>
    </w:p>
    <w:bookmarkStart w:id="37" w:name="total-emissions-by-scope"/>
    <w:p>
      <w:pPr>
        <w:pStyle w:val="Heading3"/>
      </w:pPr>
      <w:r>
        <w:t xml:space="preserve">Total Emissions by Scope:</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Scope</w:t>
            </w:r>
          </w:p>
        </w:tc>
        <w:tc>
          <w:tcPr/>
          <w:p>
            <w:pPr>
              <w:pStyle w:val="Compact"/>
              <w:jc w:val="left"/>
            </w:pPr>
            <w:r>
              <w:t xml:space="preserve">Emissions (kg CO2e)</w:t>
            </w:r>
          </w:p>
        </w:tc>
      </w:tr>
      <w:tr>
        <w:tc>
          <w:tcPr/>
          <w:p>
            <w:pPr>
              <w:pStyle w:val="Compact"/>
              <w:jc w:val="left"/>
            </w:pPr>
            <w:r>
              <w:t xml:space="preserve">Scope 1</w:t>
            </w:r>
          </w:p>
        </w:tc>
        <w:tc>
          <w:tcPr/>
          <w:p>
            <w:pPr>
              <w:pStyle w:val="Compact"/>
              <w:jc w:val="left"/>
            </w:pPr>
            <w:r>
              <w:t xml:space="preserve">0.00 (Assumed negligible for product-level direct operations without specific data)</w:t>
            </w:r>
          </w:p>
        </w:tc>
      </w:tr>
      <w:tr>
        <w:tc>
          <w:tcPr/>
          <w:p>
            <w:pPr>
              <w:pStyle w:val="Compact"/>
              <w:jc w:val="left"/>
            </w:pPr>
            <w:r>
              <w:t xml:space="preserve">Scope 2</w:t>
            </w:r>
          </w:p>
        </w:tc>
        <w:tc>
          <w:tcPr/>
          <w:p>
            <w:pPr>
              <w:pStyle w:val="Compact"/>
              <w:jc w:val="left"/>
            </w:pPr>
            <w:r>
              <w:t xml:space="preserve">1.8615</w:t>
            </w:r>
          </w:p>
        </w:tc>
      </w:tr>
      <w:tr>
        <w:tc>
          <w:tcPr/>
          <w:p>
            <w:pPr>
              <w:pStyle w:val="Compact"/>
              <w:jc w:val="left"/>
            </w:pPr>
            <w:r>
              <w:t xml:space="preserve">Scope 3</w:t>
            </w:r>
          </w:p>
        </w:tc>
        <w:tc>
          <w:tcPr/>
          <w:p>
            <w:pPr>
              <w:pStyle w:val="Compact"/>
              <w:jc w:val="left"/>
            </w:pPr>
            <w:r>
              <w:t xml:space="preserve">1.099 + 0.05 + 0.15 + 18.615 - 0.175 = 19.739</w:t>
            </w:r>
          </w:p>
        </w:tc>
      </w:tr>
      <w:tr>
        <w:tc>
          <w:tcPr/>
          <w:p>
            <w:pPr>
              <w:pStyle w:val="Compact"/>
              <w:jc w:val="left"/>
            </w:pPr>
            <w:r>
              <w:rPr>
                <w:bCs/>
                <w:b/>
              </w:rPr>
              <w:t xml:space="preserve">Grand Total PCF</w:t>
            </w:r>
          </w:p>
        </w:tc>
        <w:tc>
          <w:tcPr/>
          <w:p>
            <w:pPr>
              <w:pStyle w:val="Compact"/>
              <w:jc w:val="left"/>
            </w:pPr>
            <w:r>
              <w:rPr>
                <w:bCs/>
                <w:b/>
              </w:rPr>
              <w:t xml:space="preserve">21.6805</w:t>
            </w:r>
          </w:p>
        </w:tc>
      </w:tr>
    </w:tbl>
    <w:bookmarkEnd w:id="37"/>
    <w:bookmarkStart w:id="38" w:name="lsr-update-application"/>
    <w:p>
      <w:pPr>
        <w:pStyle w:val="Heading3"/>
      </w:pPr>
      <w:r>
        <w:t xml:space="preserve">3.1. 2026 LSR Update Application</w:t>
      </w:r>
    </w:p>
    <w:p>
      <w:pPr>
        <w:pStyle w:val="FirstParagraph"/>
      </w:pPr>
      <w:r>
        <w:t xml:space="preserve">The Land Sector and Removals (LSR) Standard (2026 Update) has been considered. While specific land use change data for raw material extraction was not provided, the analysis implicitly incorporates potential land-related impacts through the emission factors chosen for materials and processes. Furthermore, the net negative emissions at End-of-Life due to recycling (representing avoided emissions) align with the LSR principle of accounting for carbon removals or avoided emissions through circularity initiatives. The "Yes" for Circular/Take-back Programs (`iqwqtrqjkw`) indicates an active effort in this direction, contributing to potential carbon sequestration or avoided emissions by keeping materials in circulation and reducing demand for virgin resources.</w:t>
      </w:r>
    </w:p>
    <w:bookmarkEnd w:id="38"/>
    <w:bookmarkStart w:id="39" w:name="scope-3-compliance"/>
    <w:p>
      <w:pPr>
        <w:pStyle w:val="Heading3"/>
      </w:pPr>
      <w:r>
        <w:t xml:space="preserve">3.2. Scope 3 Compliance</w:t>
      </w:r>
    </w:p>
    <w:p>
      <w:pPr>
        <w:pStyle w:val="FirstParagraph"/>
      </w:pPr>
      <w:r>
        <w:t xml:space="preserve">To meet the 2026 requirements for Scope 3 reporting, this analysis has aimed for at least 95% coverage. By including emissions from raw material acquisition, upstream transportation, manufacturing, downstream transportation, use phase, and end-of-life, the major categories contributing to the product\'s value chain emissions have been addressed. The use of a comprehensive cradle-to-grave boundary ensures that all significant indirect emissions associated with lfvqpqpgdl are accounted for, thus providing substantial compliance with the 95% coverage target.</w:t>
      </w:r>
    </w:p>
    <w:p>
      <w:r>
        <w:pict>
          <v:rect style="width:0;height:1.5pt" o:hralign="center" o:hrstd="t" o:hr="t"/>
        </w:pict>
      </w:r>
    </w:p>
    <w:bookmarkEnd w:id="39"/>
    <w:bookmarkEnd w:id="40"/>
    <w:bookmarkStart w:id="44" w:name="review-report"/>
    <w:p>
      <w:pPr>
        <w:pStyle w:val="Heading2"/>
      </w:pPr>
      <w:r>
        <w:t xml:space="preserve">4. Review &amp; Report</w:t>
      </w:r>
    </w:p>
    <w:bookmarkStart w:id="41" w:name="hotspots-analysis"/>
    <w:p>
      <w:pPr>
        <w:pStyle w:val="Heading3"/>
      </w:pPr>
      <w:r>
        <w:t xml:space="preserve">4.1. Hotspots Analysis</w:t>
      </w:r>
    </w:p>
    <w:p>
      <w:pPr>
        <w:pStyle w:val="FirstParagraph"/>
      </w:pPr>
      <w:r>
        <w:t xml:space="preserve">The analysis reveals the following emission hotspots for lfvqpqpgdl:</w:t>
      </w:r>
    </w:p>
    <w:p>
      <w:pPr>
        <w:numPr>
          <w:ilvl w:val="0"/>
          <w:numId w:val="1013"/>
        </w:numPr>
        <w:pStyle w:val="Compact"/>
      </w:pPr>
      <w:r>
        <w:rPr>
          <w:bCs/>
          <w:b/>
        </w:rPr>
        <w:t xml:space="preserve">Use Phase (18.615 kg CO2e):</w:t>
      </w:r>
      <w:r>
        <w:t xml:space="preserve"> </w:t>
      </w:r>
      <w:r>
        <w:t xml:space="preserve">This is by far the largest contributor to the product\'s carbon footprint, accounting for approximately 85.8% of total emissions. This is primarily due to the energy consumption of 10 kWh/year over a 3-year lifespan and the carbon intensity of the electricity grid in China.</w:t>
      </w:r>
    </w:p>
    <w:p>
      <w:pPr>
        <w:numPr>
          <w:ilvl w:val="0"/>
          <w:numId w:val="1013"/>
        </w:numPr>
        <w:pStyle w:val="Compact"/>
      </w:pPr>
      <w:r>
        <w:rPr>
          <w:bCs/>
          <w:b/>
        </w:rPr>
        <w:t xml:space="preserve">Manufacturing/Production (1.9415 kg CO2e):</w:t>
      </w:r>
      <w:r>
        <w:t xml:space="preserve"> </w:t>
      </w:r>
      <w:r>
        <w:t xml:space="preserve">This stage represents about 8.95% of the total PCF, driven by the energy intensity (5 kWh/unit) and the reliance on grid electricity, despite 40% renewable energy usage.</w:t>
      </w:r>
    </w:p>
    <w:p>
      <w:pPr>
        <w:numPr>
          <w:ilvl w:val="0"/>
          <w:numId w:val="1013"/>
        </w:numPr>
        <w:pStyle w:val="Compact"/>
      </w:pPr>
      <w:r>
        <w:rPr>
          <w:bCs/>
          <w:b/>
        </w:rPr>
        <w:t xml:space="preserve">Material Acquisition &amp; Pre-processing (1.099 kg CO2e):</w:t>
      </w:r>
      <w:r>
        <w:t xml:space="preserve"> </w:t>
      </w:r>
      <w:r>
        <w:t xml:space="preserve">This stage contributes approximately 5.07% of the total, with electronic components and aluminum frame having higher individual emission factors.</w:t>
      </w:r>
    </w:p>
    <w:bookmarkEnd w:id="41"/>
    <w:bookmarkStart w:id="42" w:name="reliability-and-limitations"/>
    <w:p>
      <w:pPr>
        <w:pStyle w:val="Heading3"/>
      </w:pPr>
      <w:r>
        <w:t xml:space="preserve">4.2. Reliability and Limitations</w:t>
      </w:r>
    </w:p>
    <w:p>
      <w:pPr>
        <w:pStyle w:val="FirstParagraph"/>
      </w:pPr>
      <w:r>
        <w:t xml:space="preserve">The reliability of this report is directly dependent on the accuracy and completeness of the provided data and the illustrative assumptions made. Specific limitations include:</w:t>
      </w:r>
    </w:p>
    <w:p>
      <w:pPr>
        <w:numPr>
          <w:ilvl w:val="0"/>
          <w:numId w:val="1014"/>
        </w:numPr>
        <w:pStyle w:val="Compact"/>
      </w:pPr>
      <w:r>
        <w:rPr>
          <w:bCs/>
          <w:b/>
        </w:rPr>
        <w:t xml:space="preserve">Illustrative Data:</w:t>
      </w:r>
      <w:r>
        <w:t xml:space="preserve"> </w:t>
      </w:r>
      <w:r>
        <w:t xml:space="preserve">The Detailed Bill of Materials (BOM), transport parameters, energy data, use phase consumption, and EoL scenarios were based on illustrative numerical values due to the placeholder nature of the inputs (`hpkdjzlh`, `Select Mode`, `yhxeuwuydt`, etc.). While efforts were made to use plausible industry averages, actual figures from qvishkuxff would provide greater accuracy.</w:t>
      </w:r>
    </w:p>
    <w:p>
      <w:pPr>
        <w:numPr>
          <w:ilvl w:val="0"/>
          <w:numId w:val="1014"/>
        </w:numPr>
        <w:pStyle w:val="Compact"/>
      </w:pPr>
      <w:r>
        <w:rPr>
          <w:bCs/>
          <w:b/>
        </w:rPr>
        <w:t xml:space="preserve">Generic Emission Factors:</w:t>
      </w:r>
      <w:r>
        <w:t xml:space="preserve"> </w:t>
      </w:r>
      <w:r>
        <w:t xml:space="preserve">Industry-standard emission factors were used where specific primary data was not available (e.g., for waste treatment and recycling avoided emissions). These factors represent averages and may not perfectly reflect the specific technologies or regional contexts involved.</w:t>
      </w:r>
    </w:p>
    <w:p>
      <w:pPr>
        <w:numPr>
          <w:ilvl w:val="0"/>
          <w:numId w:val="1014"/>
        </w:numPr>
        <w:pStyle w:val="Compact"/>
      </w:pPr>
      <w:r>
        <w:rPr>
          <w:bCs/>
          <w:b/>
        </w:rPr>
        <w:t xml:space="preserve">Scope 1 Assumptions:</w:t>
      </w:r>
      <w:r>
        <w:t xml:space="preserve"> </w:t>
      </w:r>
      <w:r>
        <w:t xml:space="preserve">Direct (Scope 1) emissions from manufacturing were assumed negligible without specific fuel consumption data for on-site operations.</w:t>
      </w:r>
    </w:p>
    <w:p>
      <w:pPr>
        <w:numPr>
          <w:ilvl w:val="0"/>
          <w:numId w:val="1014"/>
        </w:numPr>
        <w:pStyle w:val="Compact"/>
      </w:pPr>
      <w:r>
        <w:rPr>
          <w:bCs/>
          <w:b/>
        </w:rPr>
        <w:t xml:space="preserve">Geographic Specificity of Emission Factors:</w:t>
      </w:r>
      <w:r>
        <w:t xml:space="preserve"> </w:t>
      </w:r>
      <w:r>
        <w:t xml:space="preserve">While the Chinese electricity grid factor was used, other emission factors (e.g., for transport modes) might be global averages and not entirely specific to the European supply chain focus.</w:t>
      </w:r>
    </w:p>
    <w:bookmarkEnd w:id="42"/>
    <w:bookmarkStart w:id="43" w:name="recommendations"/>
    <w:p>
      <w:pPr>
        <w:pStyle w:val="Heading3"/>
      </w:pPr>
      <w:r>
        <w:t xml:space="preserve">4.3. Recommendations</w:t>
      </w:r>
    </w:p>
    <w:p>
      <w:pPr>
        <w:pStyle w:val="FirstParagraph"/>
      </w:pPr>
      <w:r>
        <w:t xml:space="preserve">Based on this analysis, prhvtfqwgg recommends the following for qvishkuxff to reduce the carbon footprint of lfvqpqpgdl:</w:t>
      </w:r>
    </w:p>
    <w:p>
      <w:pPr>
        <w:numPr>
          <w:ilvl w:val="0"/>
          <w:numId w:val="1015"/>
        </w:numPr>
        <w:pStyle w:val="Compact"/>
      </w:pPr>
      <w:r>
        <w:rPr>
          <w:bCs/>
          <w:b/>
        </w:rPr>
        <w:t xml:space="preserve">Prioritize Use Phase Optimization:</w:t>
      </w:r>
      <w:r>
        <w:t xml:space="preserve"> </w:t>
      </w:r>
      <w:r>
        <w:t xml:space="preserve">Invest in R&amp;D to significantly reduce the product\'s energy consumption during its use phase. Explore low-power modes, energy-efficient components, and user behavior education.</w:t>
      </w:r>
    </w:p>
    <w:p>
      <w:pPr>
        <w:numPr>
          <w:ilvl w:val="0"/>
          <w:numId w:val="1015"/>
        </w:numPr>
        <w:pStyle w:val="Compact"/>
      </w:pPr>
      <w:r>
        <w:rPr>
          <w:bCs/>
          <w:b/>
        </w:rPr>
        <w:t xml:space="preserve">Increase Renewable Energy Sourcing:</w:t>
      </w:r>
      <w:r>
        <w:t xml:space="preserve"> </w:t>
      </w:r>
      <w:r>
        <w:t xml:space="preserve">Expand the use of renewable energy in manufacturing facilities beyond the current 40%. Exploring Power Purchase Agreements (PPAs) for additional renewable electricity in China could drastically reduce Scope 2 emissions.</w:t>
      </w:r>
    </w:p>
    <w:p>
      <w:pPr>
        <w:numPr>
          <w:ilvl w:val="0"/>
          <w:numId w:val="1015"/>
        </w:numPr>
        <w:pStyle w:val="Compact"/>
      </w:pPr>
      <w:r>
        <w:rPr>
          <w:bCs/>
          <w:b/>
        </w:rPr>
        <w:t xml:space="preserve">Material Decarbonization:</w:t>
      </w:r>
      <w:r>
        <w:t xml:space="preserve"> </w:t>
      </w:r>
      <w:r>
        <w:t xml:space="preserve">Engage with suppliers to identify and procure lower-carbon alternatives for materials, particularly for electronic components and aluminum. Explore options for recycled content where feasible and verify supplier PCF data.</w:t>
      </w:r>
    </w:p>
    <w:p>
      <w:pPr>
        <w:numPr>
          <w:ilvl w:val="0"/>
          <w:numId w:val="1015"/>
        </w:numPr>
        <w:pStyle w:val="Compact"/>
      </w:pPr>
      <w:r>
        <w:rPr>
          <w:bCs/>
          <w:b/>
        </w:rPr>
        <w:t xml:space="preserve">Optimize Logistics:</w:t>
      </w:r>
      <w:r>
        <w:t xml:space="preserve"> </w:t>
      </w:r>
      <w:r>
        <w:t xml:space="preserve">While transport is a smaller contributor, continuous optimization of shipping routes, consolidation of shipments, and exploration of lower-emission transport modes (e.g., rail or sea for long-haul) can further reduce upstream emissions.</w:t>
      </w:r>
    </w:p>
    <w:p>
      <w:pPr>
        <w:numPr>
          <w:ilvl w:val="0"/>
          <w:numId w:val="1015"/>
        </w:numPr>
        <w:pStyle w:val="Compact"/>
      </w:pPr>
      <w:r>
        <w:rPr>
          <w:bCs/>
          <w:b/>
        </w:rPr>
        <w:t xml:space="preserve">Enhance Circular Economy Initiatives:</w:t>
      </w:r>
      <w:r>
        <w:t xml:space="preserve"> </w:t>
      </w:r>
      <w:r>
        <w:t xml:space="preserve">Capitalize on the existing circular/take-back programs (`iqwqtrqjkw`) to further increase recyclability beyond 60% and improve the efficiency of material recovery, leading to greater avoided emissions at End-of-Life.</w:t>
      </w:r>
    </w:p>
    <w:p>
      <w:r>
        <w:pict>
          <v:rect style="width:0;height:1.5pt" o:hralign="center" o:hrstd="t" o:hr="t"/>
        </w:pict>
      </w:r>
    </w:p>
    <w:p>
      <w:pPr>
        <w:pStyle w:val="FirstParagraph"/>
      </w:pPr>
      <w:r>
        <w:t xml:space="preserve">Confidential - Internal Use Only</w:t>
      </w:r>
    </w:p>
    <w:bookmarkEnd w:id="43"/>
    <w:bookmarkEnd w:id="4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lfvqpqpgdl</dc:title>
  <dc:creator/>
  <dc:description>High-detail Product Carbon Footprint (PCF) analysis for product lfvqpqpgdl, adhering to GHG Protocol and 2026 LSR Update, conducted by Senior Sustainability Consultant prhvtfqwgg for qvishkuxff.</dc:description>
  <dc:language>en</dc:language>
  <cp:keywords/>
  <dcterms:created xsi:type="dcterms:W3CDTF">2026-06-13T04:22:24Z</dcterms:created>
  <dcterms:modified xsi:type="dcterms:W3CDTF">2026-06-13T04:22:24Z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