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letyogoemv</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letyogoemv</w:t>
      </w:r>
    </w:p>
    <w:p>
      <w:pPr>
        <w:pStyle w:val="BodyText"/>
      </w:pPr>
      <w:r>
        <w:t xml:space="preserve">Protocol Data (Accounting Standard): GHG Protocol</w:t>
      </w:r>
    </w:p>
    <w:p>
      <w:pPr>
        <w:pStyle w:val="BodyText"/>
      </w:pPr>
      <w:r>
        <w:t xml:space="preserve">Company Name: hvkzgzlhtj</w:t>
      </w:r>
    </w:p>
    <w:p>
      <w:pPr>
        <w:pStyle w:val="BodyText"/>
      </w:pPr>
      <w:r>
        <w:t xml:space="preserve">Senior Sustainability Consultant: rvnsjmmedf</w:t>
      </w:r>
    </w:p>
    <w:p>
      <w:pPr>
        <w:pStyle w:val="BodyText"/>
      </w:pPr>
      <w:r>
        <w:t xml:space="preserve">Disclaimer: This report is generated based on available data, industry standards, and specified parameters. Where specific data was not provided in a parseable format, reasonable assumptions and placeholder values, informed by industry-standard emission factor databases such as Ecoinvent and Climatiq, have been used and explicitly noted in the report.</w:t>
      </w:r>
    </w:p>
    <w:bookmarkEnd w:id="20"/>
    <w:bookmarkStart w:id="47" w:name="X29501dfeedc6680154e90403c0aa696be9fd83a"/>
    <w:p>
      <w:pPr>
        <w:pStyle w:val="Heading1"/>
      </w:pPr>
      <w:r>
        <w:t xml:space="preserve">Product Carbon Footprint Report: letyogoemv</w:t>
      </w:r>
    </w:p>
    <w:p>
      <w:pPr>
        <w:pStyle w:val="FirstParagraph"/>
      </w:pPr>
      <w:r>
        <w:rPr>
          <w:bCs/>
          <w:b/>
        </w:rPr>
        <w:t xml:space="preserve">Generated Date:</w:t>
      </w:r>
      <w:r>
        <w:t xml:space="preserve"> </w:t>
      </w:r>
      <w:r>
        <w:t xml:space="preserve">May 27, 2026</w:t>
      </w:r>
    </w:p>
    <w:p>
      <w:pPr>
        <w:pStyle w:val="BodyText"/>
      </w:pPr>
      <w:r>
        <w:rPr>
          <w:bCs/>
          <w:b/>
        </w:rPr>
        <w:t xml:space="preserve">Prepared for:</w:t>
      </w:r>
      <w:r>
        <w:t xml:space="preserve"> </w:t>
      </w:r>
      <w:r>
        <w:t xml:space="preserve">hvkzgzlhtj</w:t>
      </w:r>
    </w:p>
    <w:p>
      <w:pPr>
        <w:pStyle w:val="BodyText"/>
      </w:pPr>
      <w:r>
        <w:rPr>
          <w:bCs/>
          <w:b/>
        </w:rPr>
        <w:t xml:space="preserve">Prepared by:</w:t>
      </w:r>
      <w:r>
        <w:t xml:space="preserve"> </w:t>
      </w:r>
      <w:r>
        <w:t xml:space="preserve">rvnsjmmedf,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"letyogoemv," manufactured by hvkzgzlhtj. The analysis adheres strictly to the GHG Protocol accounting standard, incorporating the latest 2026 Land Sector and Removals (LSR) Standard updates and ensuring at least 95% coverage for Scope 3 emissions. The functional unit for this study is 1.0 unit of letyogoemv, with a system boundary defined as "factory_gate" and a geographic scope focusing on China for final production and Europe for the supply chain. This assessment identifies key emission hotspots across the product\'s lifecycle, from raw material acquisition to end-of-life, providing actionable insights for hvkzgzlhtj to enhance the sustainability performance of letyogoemv.</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initial phase establishes the foundational parameters for the Product Carbon Footprint analysis of letyogoemv.</w:t>
      </w:r>
    </w:p>
    <w:p>
      <w:pPr>
        <w:numPr>
          <w:ilvl w:val="0"/>
          <w:numId w:val="1001"/>
        </w:numPr>
        <w:pStyle w:val="Compact"/>
      </w:pPr>
      <w:r>
        <w:rPr>
          <w:bCs/>
          <w:b/>
        </w:rPr>
        <w:t xml:space="preserve">Functional Unit:</w:t>
      </w:r>
      <w:r>
        <w:t xml:space="preserve"> </w:t>
      </w:r>
      <w:r>
        <w:t xml:space="preserve">1.0 unit of letyogoemv. This serves as the reference flow to which all input and output data are normalized.</w:t>
      </w:r>
    </w:p>
    <w:p>
      <w:pPr>
        <w:numPr>
          <w:ilvl w:val="0"/>
          <w:numId w:val="1001"/>
        </w:numPr>
        <w:pStyle w:val="Compact"/>
      </w:pPr>
      <w:r>
        <w:rPr>
          <w:bCs/>
          <w:b/>
        </w:rPr>
        <w:t xml:space="preserve">System Boundary:</w:t>
      </w:r>
      <w:r>
        <w:t xml:space="preserve"> </w:t>
      </w:r>
      <w:r>
        <w:t xml:space="preserve">factory_gate. This boundary includes all upstream processes related to raw material extraction, processing, manufacturing, and transport up to the point the finished product leaves the manufacturing facility. Downstream stages (e.g., product use, end-of-life) are also included as per GHG Protocol Scope 3 requirements, but the primary focus for the "factory_gate" definition often centers on production.</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GHG Protocol. All emissions are categorized into Scope 1 (direct), Scope 2 (purchased energy), and Scope 3 (value chain) in accordance with the GHG Protocol Product Standard. The 2026 Land Sector and Removals (LSR) Standard has been conceptually applied for any relevant land-use and carbon removal considerations.</w:t>
      </w:r>
    </w:p>
    <w:p>
      <w:pPr>
        <w:numPr>
          <w:ilvl w:val="0"/>
          <w:numId w:val="1001"/>
        </w:numPr>
        <w:pStyle w:val="Compact"/>
      </w:pPr>
      <w:r>
        <w:rPr>
          <w:bCs/>
          <w:b/>
        </w:rPr>
        <w:t xml:space="preserve">Allocation:</w:t>
      </w:r>
      <w:r>
        <w:t xml:space="preserve"> </w:t>
      </w:r>
      <w:r>
        <w:t xml:space="preserve">For multi-output processes or recycled content, allocation is applied based on established GHG Protocol guidelines, typically favoring mass or economic allocation where co-products or waste streams exist. For recycled content, the "cut-off" approach is generally applied unless specific product-level data warrants an alternative.</w:t>
      </w:r>
    </w:p>
    <w:p>
      <w:r>
        <w:pict>
          <v:rect style="width:0;height:1.5pt" o:hralign="center" o:hrstd="t" o:hr="t"/>
        </w:pict>
      </w:r>
    </w:p>
    <w:bookmarkEnd w:id="22"/>
    <w:bookmarkStart w:id="30" w:name="X9b3f95e3515408304ff4a9cec9842f2424d7a20"/>
    <w:p>
      <w:pPr>
        <w:pStyle w:val="Heading2"/>
      </w:pPr>
      <w:r>
        <w:t xml:space="preserve">2. Map Lifecycle (LCI Inventory Stages) &amp; 3. Collect Data (Primary/Secondary Data Points)</w:t>
      </w:r>
    </w:p>
    <w:p>
      <w:pPr>
        <w:pStyle w:val="FirstParagraph"/>
      </w:pPr>
      <w:r>
        <w:t xml:space="preserve">The lifecycle of letyogoemv is mapped into several distinct stages, and data relevant to each stage is collected. Due to the placeholder nature of some provided parameters, illustrative data and industry-average emission factors (primarily sourced from publicly available databases like Ecoinvent and Climatiq for conceptual calculations) are used, with specific parameter names noted.</w:t>
      </w:r>
    </w:p>
    <w:bookmarkStart w:id="23" w:name="lifecycle-stages-identified"/>
    <w:p>
      <w:pPr>
        <w:pStyle w:val="Heading3"/>
      </w:pPr>
      <w:r>
        <w:t xml:space="preserve">2.1. Lifecycle Stages Identified:</w:t>
      </w:r>
    </w:p>
    <w:p>
      <w:pPr>
        <w:numPr>
          <w:ilvl w:val="0"/>
          <w:numId w:val="1003"/>
        </w:numPr>
        <w:pStyle w:val="Compact"/>
      </w:pPr>
      <w:r>
        <w:rPr>
          <w:bCs/>
          <w:b/>
        </w:rPr>
        <w:t xml:space="preserve">Raw Material Acquisition &amp; Pre-processing:</w:t>
      </w:r>
      <w:r>
        <w:t xml:space="preserve"> </w:t>
      </w:r>
      <w:r>
        <w:t xml:space="preserve">Extraction and initial processing of all materials comprising letyogoemv.</w:t>
      </w:r>
    </w:p>
    <w:p>
      <w:pPr>
        <w:numPr>
          <w:ilvl w:val="0"/>
          <w:numId w:val="1003"/>
        </w:numPr>
        <w:pStyle w:val="Compact"/>
      </w:pPr>
      <w:r>
        <w:rPr>
          <w:bCs/>
          <w:b/>
        </w:rPr>
        <w:t xml:space="preserve">Manufacturing (Core Production):</w:t>
      </w:r>
      <w:r>
        <w:t xml:space="preserve"> </w:t>
      </w:r>
      <w:r>
        <w:t xml:space="preserve">The processes involved in assembling and finishing letyogoemv at the hvkzgzlhtj facility in China.</w:t>
      </w:r>
    </w:p>
    <w:p>
      <w:pPr>
        <w:numPr>
          <w:ilvl w:val="0"/>
          <w:numId w:val="1003"/>
        </w:numPr>
        <w:pStyle w:val="Compact"/>
      </w:pPr>
      <w:r>
        <w:rPr>
          <w:bCs/>
          <w:b/>
        </w:rPr>
        <w:t xml:space="preserve">Transportation &amp; Distribution (Upstream &amp; Downstream):</w:t>
      </w:r>
      <w:r>
        <w:t xml:space="preserve"> </w:t>
      </w:r>
      <w:r>
        <w:t xml:space="preserve">Inbound logistics of raw materials and components, outbound transport of the finished product to the market, and last-mile delivery.</w:t>
      </w:r>
    </w:p>
    <w:p>
      <w:pPr>
        <w:numPr>
          <w:ilvl w:val="0"/>
          <w:numId w:val="1003"/>
        </w:numPr>
        <w:pStyle w:val="Compact"/>
      </w:pPr>
      <w:r>
        <w:rPr>
          <w:bCs/>
          <w:b/>
        </w:rPr>
        <w:t xml:space="preserve">Use Phase:</w:t>
      </w:r>
      <w:r>
        <w:t xml:space="preserve"> </w:t>
      </w:r>
      <w:r>
        <w:t xml:space="preserve">Energy consumption and other impacts during the product\'s functional lifespan.</w:t>
      </w:r>
    </w:p>
    <w:p>
      <w:pPr>
        <w:numPr>
          <w:ilvl w:val="0"/>
          <w:numId w:val="1003"/>
        </w:numPr>
        <w:pStyle w:val="Compact"/>
      </w:pPr>
      <w:r>
        <w:rPr>
          <w:bCs/>
          <w:b/>
        </w:rPr>
        <w:t xml:space="preserve">End-of-Life (EoL):</w:t>
      </w:r>
      <w:r>
        <w:t xml:space="preserve"> </w:t>
      </w:r>
      <w:r>
        <w:t xml:space="preserve">Collection, recycling, landfill, or incineration processes for the product at the end of its useful life.</w:t>
      </w:r>
    </w:p>
    <w:bookmarkEnd w:id="23"/>
    <w:bookmarkStart w:id="29" w:name="data-collection-summary"/>
    <w:p>
      <w:pPr>
        <w:pStyle w:val="Heading3"/>
      </w:pPr>
      <w:r>
        <w:t xml:space="preserve">2.2. Data Collection Summary:</w:t>
      </w:r>
    </w:p>
    <w:bookmarkStart w:id="24" w:name="X46a88940ffc734db6ba6d8ae42ff71114bfadee"/>
    <w:p>
      <w:pPr>
        <w:pStyle w:val="Heading4"/>
      </w:pPr>
      <w:r>
        <w:t xml:space="preserve">Materials (Detailed Bill of Materials - BOM)</w:t>
      </w:r>
    </w:p>
    <w:p>
      <w:pPr>
        <w:pStyle w:val="FirstParagraph"/>
      </w:pPr>
      <w:r>
        <w:t xml:space="preserve">The detailed Bill of Materials (BOM) for letyogoemv, represented by the parameter</w:t>
      </w:r>
      <w:r>
        <w:t xml:space="preserve"> </w:t>
      </w:r>
      <w:r>
        <w:rPr>
          <w:rStyle w:val="VerbatimChar"/>
        </w:rPr>
        <w:t xml:space="preserve">uzlmsips</w:t>
      </w:r>
      <w:r>
        <w:t xml:space="preserve">, is critical for high-accuracy material impact calculation. For the purpose of this report, a representative BOM with illustrative quantities and emission factors (as per the specified format: ID, Description, Category, Process, Qty, Unit, Emission Factor, Total Carbon) is simulated below. In a real-world scenario, precise supplier data would be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7.385</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 Virgin ABS</w:t>
            </w:r>
          </w:p>
        </w:tc>
        <w:tc>
          <w:tcPr/>
          <w:p>
            <w:pPr>
              <w:pStyle w:val="Compact"/>
              <w:jc w:val="left"/>
            </w:pPr>
            <w:r>
              <w:t xml:space="preserve">0.3</w:t>
            </w:r>
          </w:p>
        </w:tc>
        <w:tc>
          <w:tcPr/>
          <w:p>
            <w:pPr>
              <w:pStyle w:val="Compact"/>
              <w:jc w:val="left"/>
            </w:pPr>
            <w:r>
              <w:t xml:space="preserve">kg</w:t>
            </w:r>
          </w:p>
        </w:tc>
        <w:tc>
          <w:tcPr/>
          <w:p>
            <w:pPr>
              <w:pStyle w:val="Compact"/>
              <w:jc w:val="left"/>
            </w:pPr>
            <w:r>
              <w:t xml:space="preserve">3.1</w:t>
            </w:r>
          </w:p>
        </w:tc>
        <w:tc>
          <w:tcPr/>
          <w:p>
            <w:pPr>
              <w:pStyle w:val="Compact"/>
              <w:jc w:val="left"/>
            </w:pPr>
            <w:r>
              <w:t xml:space="preserve">0.93</w:t>
            </w:r>
          </w:p>
        </w:tc>
      </w:tr>
      <w:tr>
        <w:tc>
          <w:tcPr/>
          <w:p>
            <w:pPr>
              <w:pStyle w:val="Compact"/>
              <w:jc w:val="left"/>
            </w:pPr>
            <w:r>
              <w:t xml:space="preserve">M003</w:t>
            </w:r>
          </w:p>
        </w:tc>
        <w:tc>
          <w:tcPr/>
          <w:p>
            <w:pPr>
              <w:pStyle w:val="Compact"/>
              <w:jc w:val="left"/>
            </w:pPr>
            <w:r>
              <w:t xml:space="preserve">Electronic PCB Assembly</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Extraction,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4.5</w:t>
            </w:r>
          </w:p>
        </w:tc>
        <w:tc>
          <w:tcPr/>
          <w:p>
            <w:pPr>
              <w:pStyle w:val="Compact"/>
              <w:jc w:val="left"/>
            </w:pPr>
            <w:r>
              <w:t xml:space="preserve">0.09</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Recycled Pulp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0.75</w:t>
            </w:r>
          </w:p>
        </w:tc>
        <w:tc>
          <w:tcPr/>
          <w:p>
            <w:pPr>
              <w:pStyle w:val="Compact"/>
              <w:jc w:val="left"/>
            </w:pPr>
            <w:r>
              <w:t xml:space="preserve">0.15</w:t>
            </w:r>
          </w:p>
        </w:tc>
      </w:tr>
    </w:tbl>
    <w:p>
      <w:pPr>
        <w:pStyle w:val="BodyText"/>
      </w:pPr>
      <w:r>
        <w:rPr>
          <w:iCs/>
          <w:i/>
        </w:rPr>
        <w:t xml:space="preserve">(Note: "Total Carbon" here is Qty * Emission Factor, reflecting the specified format. Emission factors are illustrative, informed by search results.)</w:t>
      </w:r>
    </w:p>
    <w:bookmarkEnd w:id="24"/>
    <w:bookmarkStart w:id="25" w:name="energy-inputs-production-phase"/>
    <w:p>
      <w:pPr>
        <w:pStyle w:val="Heading4"/>
      </w:pPr>
      <w:r>
        <w:t xml:space="preserve">Energy Inputs (Production Phase)</w:t>
      </w:r>
    </w:p>
    <w:p>
      <w:pPr>
        <w:numPr>
          <w:ilvl w:val="0"/>
          <w:numId w:val="1004"/>
        </w:numPr>
        <w:pStyle w:val="Compact"/>
      </w:pPr>
      <w:r>
        <w:rPr>
          <w:bCs/>
          <w:b/>
        </w:rPr>
        <w:t xml:space="preserve">Energy Intensity (</w:t>
      </w:r>
      <w:r>
        <w:rPr>
          <w:rStyle w:val="VerbatimChar"/>
          <w:bCs/>
          <w:b/>
        </w:rPr>
        <w:t xml:space="preserve">qstrherzze</w:t>
      </w:r>
      <w:r>
        <w:rPr>
          <w:bCs/>
          <w:b/>
        </w:rPr>
        <w:t xml:space="preserve">):</w:t>
      </w:r>
      <w:r>
        <w:t xml:space="preserve"> </w:t>
      </w:r>
      <w:r>
        <w:t xml:space="preserve">Assumed as 5 kWh/unit.</w:t>
      </w:r>
    </w:p>
    <w:p>
      <w:pPr>
        <w:numPr>
          <w:ilvl w:val="0"/>
          <w:numId w:val="1004"/>
        </w:numPr>
        <w:pStyle w:val="Compact"/>
      </w:pPr>
      <w:r>
        <w:rPr>
          <w:bCs/>
          <w:b/>
        </w:rPr>
        <w:t xml:space="preserve">Renewable Energy Usage (</w:t>
      </w:r>
      <w:r>
        <w:rPr>
          <w:rStyle w:val="VerbatimChar"/>
          <w:bCs/>
          <w:b/>
        </w:rPr>
        <w:t xml:space="preserve">nqgszlieuq</w:t>
      </w:r>
      <w:r>
        <w:rPr>
          <w:bCs/>
          <w:b/>
        </w:rPr>
        <w:t xml:space="preserve">):</w:t>
      </w:r>
      <w:r>
        <w:t xml:space="preserve"> </w:t>
      </w:r>
      <w:r>
        <w:t xml:space="preserve">Assumed as 70%. This significantly de-carbonizes the purchased electricity. The remaining 30% is assumed to be sourced from the regional grid mix.</w:t>
      </w:r>
    </w:p>
    <w:p>
      <w:pPr>
        <w:numPr>
          <w:ilvl w:val="0"/>
          <w:numId w:val="1004"/>
        </w:numPr>
        <w:pStyle w:val="Compact"/>
      </w:pPr>
      <w:r>
        <w:rPr>
          <w:bCs/>
          <w:b/>
        </w:rPr>
        <w:t xml:space="preserve">China Electricity Grid Mix Emission Factor:</w:t>
      </w:r>
      <w:r>
        <w:t xml:space="preserve"> </w:t>
      </w:r>
      <w:r>
        <w:t xml:space="preserve">Assumed 0.56 kg CO2e/kWh (illustrative for China, based on recent data from Climatiq/MEE).</w:t>
      </w:r>
    </w:p>
    <w:bookmarkEnd w:id="25"/>
    <w:bookmarkStart w:id="26" w:name="logistics-data"/>
    <w:p>
      <w:pPr>
        <w:pStyle w:val="Heading4"/>
      </w:pPr>
      <w:r>
        <w:t xml:space="preserve">Logistics Data</w:t>
      </w:r>
    </w:p>
    <w:p>
      <w:pPr>
        <w:numPr>
          <w:ilvl w:val="0"/>
          <w:numId w:val="1005"/>
        </w:numPr>
        <w:pStyle w:val="Compact"/>
      </w:pPr>
      <w:r>
        <w:rPr>
          <w:bCs/>
          <w:b/>
        </w:rPr>
        <w:t xml:space="preserve">Transport Mode (</w:t>
      </w:r>
      <w:r>
        <w:rPr>
          <w:rStyle w:val="VerbatimChar"/>
          <w:bCs/>
          <w:b/>
        </w:rPr>
        <w:t xml:space="preserve">Select Mode</w:t>
      </w:r>
      <w:r>
        <w:rPr>
          <w:bCs/>
          <w:b/>
        </w:rPr>
        <w:t xml:space="preserve">):</w:t>
      </w:r>
      <w:r>
        <w:t xml:space="preserve"> </w:t>
      </w:r>
      <w:r>
        <w:t xml:space="preserve">Road freight (Heavy Goods Vehicle &gt; 16t).</w:t>
      </w:r>
    </w:p>
    <w:p>
      <w:pPr>
        <w:numPr>
          <w:ilvl w:val="0"/>
          <w:numId w:val="1005"/>
        </w:numPr>
        <w:pStyle w:val="Compact"/>
      </w:pPr>
      <w:r>
        <w:rPr>
          <w:bCs/>
          <w:b/>
        </w:rPr>
        <w:t xml:space="preserve">Transport Distance (</w:t>
      </w:r>
      <w:r>
        <w:rPr>
          <w:rStyle w:val="VerbatimChar"/>
          <w:bCs/>
          <w:b/>
        </w:rPr>
        <w:t xml:space="preserve">ouxmygpkhg</w:t>
      </w:r>
      <w:r>
        <w:rPr>
          <w:bCs/>
          <w:b/>
        </w:rPr>
        <w:t xml:space="preserve">):</w:t>
      </w:r>
      <w:r>
        <w:t xml:space="preserve"> </w:t>
      </w:r>
      <w:r>
        <w:t xml:space="preserve">Assumed 1500 km (for outbound logistics from factory to main distribution hub).</w:t>
      </w:r>
    </w:p>
    <w:p>
      <w:pPr>
        <w:numPr>
          <w:ilvl w:val="0"/>
          <w:numId w:val="1005"/>
        </w:numPr>
        <w:pStyle w:val="Compact"/>
      </w:pPr>
      <w:r>
        <w:rPr>
          <w:bCs/>
          <w:b/>
        </w:rPr>
        <w:t xml:space="preserve">Last-Mile Delivery Channel (</w:t>
      </w:r>
      <w:r>
        <w:rPr>
          <w:rStyle w:val="VerbatimChar"/>
          <w:bCs/>
          <w:b/>
        </w:rPr>
        <w:t xml:space="preserve">Delivery Type</w:t>
      </w:r>
      <w:r>
        <w:rPr>
          <w:bCs/>
          <w:b/>
        </w:rPr>
        <w:t xml:space="preserve">):</w:t>
      </w:r>
      <w:r>
        <w:t xml:space="preserve"> </w:t>
      </w:r>
      <w:r>
        <w:t xml:space="preserve">Parcel delivery (small van).</w:t>
      </w:r>
    </w:p>
    <w:p>
      <w:pPr>
        <w:numPr>
          <w:ilvl w:val="0"/>
          <w:numId w:val="1005"/>
        </w:numPr>
        <w:pStyle w:val="Compact"/>
      </w:pPr>
      <w:r>
        <w:rPr>
          <w:bCs/>
          <w:b/>
        </w:rPr>
        <w:t xml:space="preserve">Road Freight Emission Factor (HGV &gt; 16t):</w:t>
      </w:r>
      <w:r>
        <w:t xml:space="preserve"> </w:t>
      </w:r>
      <w:r>
        <w:t xml:space="preserve">Assumed 0.08 kg CO2e/tkm (illustrative, common average).</w:t>
      </w:r>
    </w:p>
    <w:p>
      <w:pPr>
        <w:numPr>
          <w:ilvl w:val="0"/>
          <w:numId w:val="1005"/>
        </w:numPr>
        <w:pStyle w:val="Compact"/>
      </w:pPr>
      <w:r>
        <w:rPr>
          <w:bCs/>
          <w:b/>
        </w:rPr>
        <w:t xml:space="preserve">Parcel Delivery Van Emission Factor:</w:t>
      </w:r>
      <w:r>
        <w:t xml:space="preserve"> </w:t>
      </w:r>
      <w:r>
        <w:t xml:space="preserve">Assumed 0.2 kg CO2e/delivery (illustrative for short distances).</w:t>
      </w:r>
    </w:p>
    <w:bookmarkEnd w:id="26"/>
    <w:bookmarkStart w:id="27" w:name="use-phase-data"/>
    <w:p>
      <w:pPr>
        <w:pStyle w:val="Heading4"/>
      </w:pPr>
      <w:r>
        <w:t xml:space="preserve">Use Phase Data</w:t>
      </w:r>
    </w:p>
    <w:p>
      <w:pPr>
        <w:numPr>
          <w:ilvl w:val="0"/>
          <w:numId w:val="1006"/>
        </w:numPr>
        <w:pStyle w:val="Compact"/>
      </w:pPr>
      <w:r>
        <w:rPr>
          <w:bCs/>
          <w:b/>
        </w:rPr>
        <w:t xml:space="preserve">Product Lifespan (</w:t>
      </w:r>
      <w:r>
        <w:rPr>
          <w:rStyle w:val="VerbatimChar"/>
          <w:bCs/>
          <w:b/>
        </w:rPr>
        <w:t xml:space="preserve">mqwnyidtzp</w:t>
      </w:r>
      <w:r>
        <w:rPr>
          <w:bCs/>
          <w:b/>
        </w:rPr>
        <w:t xml:space="preserve">):</w:t>
      </w:r>
      <w:r>
        <w:t xml:space="preserve"> </w:t>
      </w:r>
      <w:r>
        <w:t xml:space="preserve">Assumed 3 years.</w:t>
      </w:r>
    </w:p>
    <w:p>
      <w:pPr>
        <w:numPr>
          <w:ilvl w:val="0"/>
          <w:numId w:val="1006"/>
        </w:numPr>
        <w:pStyle w:val="Compact"/>
      </w:pPr>
      <w:r>
        <w:rPr>
          <w:bCs/>
          <w:b/>
        </w:rPr>
        <w:t xml:space="preserve">Energy Consumption in Use (</w:t>
      </w:r>
      <w:r>
        <w:rPr>
          <w:rStyle w:val="VerbatimChar"/>
          <w:bCs/>
          <w:b/>
        </w:rPr>
        <w:t xml:space="preserve">dowkptjiwf</w:t>
      </w:r>
      <w:r>
        <w:rPr>
          <w:bCs/>
          <w:b/>
        </w:rPr>
        <w:t xml:space="preserve">):</w:t>
      </w:r>
      <w:r>
        <w:t xml:space="preserve"> </w:t>
      </w:r>
      <w:r>
        <w:t xml:space="preserve">Assumed 10 kWh/year.</w:t>
      </w:r>
    </w:p>
    <w:p>
      <w:pPr>
        <w:numPr>
          <w:ilvl w:val="0"/>
          <w:numId w:val="1006"/>
        </w:numPr>
        <w:pStyle w:val="Compact"/>
      </w:pPr>
      <w:r>
        <w:rPr>
          <w:bCs/>
          <w:b/>
        </w:rPr>
        <w:t xml:space="preserve">Electricity Emission Factor (User Country):</w:t>
      </w:r>
      <w:r>
        <w:t xml:space="preserve"> </w:t>
      </w:r>
      <w:r>
        <w:t xml:space="preserve">Assumed 0.3 kg CO2e/kWh (illustrative average for a European user, acknowledging variability).</w:t>
      </w:r>
    </w:p>
    <w:bookmarkEnd w:id="27"/>
    <w:bookmarkStart w:id="28" w:name="end-of-life-eol-scenarios"/>
    <w:p>
      <w:pPr>
        <w:pStyle w:val="Heading4"/>
      </w:pPr>
      <w:r>
        <w:t xml:space="preserve">End-of-Life (EoL) Scenarios</w:t>
      </w:r>
    </w:p>
    <w:p>
      <w:pPr>
        <w:numPr>
          <w:ilvl w:val="0"/>
          <w:numId w:val="1007"/>
        </w:numPr>
        <w:pStyle w:val="Compact"/>
      </w:pPr>
      <w:r>
        <w:rPr>
          <w:bCs/>
          <w:b/>
        </w:rPr>
        <w:t xml:space="preserve">Recyclability Percentage (</w:t>
      </w:r>
      <w:r>
        <w:rPr>
          <w:rStyle w:val="VerbatimChar"/>
          <w:bCs/>
          <w:b/>
        </w:rPr>
        <w:t xml:space="preserve">lekrudjqsd</w:t>
      </w:r>
      <w:r>
        <w:rPr>
          <w:bCs/>
          <w:b/>
        </w:rPr>
        <w:t xml:space="preserve">):</w:t>
      </w:r>
      <w:r>
        <w:t xml:space="preserve"> </w:t>
      </w:r>
      <w:r>
        <w:t xml:space="preserve">Assumed 60% of product mass is recycled.</w:t>
      </w:r>
    </w:p>
    <w:p>
      <w:pPr>
        <w:numPr>
          <w:ilvl w:val="0"/>
          <w:numId w:val="1007"/>
        </w:numPr>
        <w:pStyle w:val="Compact"/>
      </w:pPr>
      <w:r>
        <w:rPr>
          <w:bCs/>
          <w:b/>
        </w:rPr>
        <w:t xml:space="preserve">Circular/Take-back Programs (</w:t>
      </w:r>
      <w:r>
        <w:rPr>
          <w:rStyle w:val="VerbatimChar"/>
          <w:bCs/>
          <w:b/>
        </w:rPr>
        <w:t xml:space="preserve">zrgnmipymw</w:t>
      </w:r>
      <w:r>
        <w:rPr>
          <w:bCs/>
          <w:b/>
        </w:rPr>
        <w:t xml:space="preserve">):</w:t>
      </w:r>
      <w:r>
        <w:t xml:space="preserve"> </w:t>
      </w:r>
      <w:r>
        <w:t xml:space="preserve">Product take-back program in place, facilitating higher recycling rates.</w:t>
      </w:r>
    </w:p>
    <w:p>
      <w:pPr>
        <w:numPr>
          <w:ilvl w:val="0"/>
          <w:numId w:val="1007"/>
        </w:numPr>
        <w:pStyle w:val="Compact"/>
      </w:pPr>
      <w:r>
        <w:rPr>
          <w:bCs/>
          <w:b/>
        </w:rPr>
        <w:t xml:space="preserve">Landfill Emission Factor:</w:t>
      </w:r>
      <w:r>
        <w:t xml:space="preserve"> </w:t>
      </w:r>
      <w:r>
        <w:t xml:space="preserve">Assumed 0.05 kg CO2e/kg waste (illustrative, based on general waste management data).</w:t>
      </w:r>
    </w:p>
    <w:p>
      <w:pPr>
        <w:numPr>
          <w:ilvl w:val="0"/>
          <w:numId w:val="1007"/>
        </w:numPr>
        <w:pStyle w:val="Compact"/>
      </w:pPr>
      <w:r>
        <w:rPr>
          <w:bCs/>
          <w:b/>
        </w:rPr>
        <w:t xml:space="preserve">Incineration Emission Factor:</w:t>
      </w:r>
      <w:r>
        <w:t xml:space="preserve"> </w:t>
      </w:r>
      <w:r>
        <w:t xml:space="preserve">Assumed 0.15 kg CO2e/kg waste (illustrative, for non-recycled portion).</w:t>
      </w:r>
    </w:p>
    <w:p>
      <w:r>
        <w:pict>
          <v:rect style="width:0;height:1.5pt" o:hralign="center" o:hrstd="t" o:hr="t"/>
        </w:pict>
      </w:r>
    </w:p>
    <w:bookmarkEnd w:id="28"/>
    <w:bookmarkEnd w:id="29"/>
    <w:bookmarkEnd w:id="30"/>
    <w:bookmarkStart w:id="41" w:name="Xb404f6bea4a0013006ec7a9103609d9ea6643c1"/>
    <w:p>
      <w:pPr>
        <w:pStyle w:val="Heading2"/>
      </w:pPr>
      <w:r>
        <w:t xml:space="preserve">4. Calculate Emissions (Activity * Emission Factor = CO2e)</w:t>
      </w:r>
    </w:p>
    <w:p>
      <w:pPr>
        <w:pStyle w:val="FirstParagraph"/>
      </w:pPr>
      <w:r>
        <w:t xml:space="preserve">This section details the calculation of the Product Carbon Footprint for letyogoemv, categorized by GHG Protocol Scopes.</w:t>
      </w:r>
    </w:p>
    <w:bookmarkStart w:id="31" w:name="total-pcf-for-1.0-unit-of-letyogoemv"/>
    <w:p>
      <w:pPr>
        <w:pStyle w:val="Heading3"/>
      </w:pPr>
      <w:r>
        <w:t xml:space="preserve">Total PCF for 1.0 unit of letyogoemv</w:t>
      </w:r>
    </w:p>
    <w:p>
      <w:pPr>
        <w:pStyle w:val="FirstParagraph"/>
      </w:pPr>
      <w:r>
        <w:rPr>
          <w:bCs/>
          <w:b/>
        </w:rPr>
        <w:t xml:space="preserve">Total Estimated PCF: 21.083 kg CO2e/unit</w:t>
      </w:r>
      <w:r>
        <w:t xml:space="preserve"> </w:t>
      </w:r>
      <w:r>
        <w:rPr>
          <w:iCs/>
          <w:i/>
        </w:rPr>
        <w:t xml:space="preserve">(Calculated below)</w:t>
      </w:r>
    </w:p>
    <w:bookmarkEnd w:id="31"/>
    <w:bookmarkStart w:id="32" w:name="scope-1-direct-emissions"/>
    <w:p>
      <w:pPr>
        <w:pStyle w:val="Heading3"/>
      </w:pPr>
      <w:r>
        <w:t xml:space="preserve">4.1. Scope 1: Direct Emissions</w:t>
      </w:r>
    </w:p>
    <w:p>
      <w:pPr>
        <w:pStyle w:val="FirstParagraph"/>
      </w:pPr>
      <w:r>
        <w:t xml:space="preserve">For a product-level assessment with a "factory_gate" system boundary, direct Scope 1 emissions typically refer to direct combustion on-site for manufacturing processes not covered by purchased energy. For letyogoemv, assuming electricity is the primary energy source for the manufacturing facility, direct on-site combustion emissions are considered negligible or already embedded in upstream material processes. Therefore, specific Scope 1 emissions for the product itself are not separately quantified here but would be part of the facility\'s corporate inventory. If on-site processes involved significant direct emissions (e.g., from burning natural gas for heat, not linked to upstream material production), they would be calculated here.</w:t>
      </w:r>
    </w:p>
    <w:p>
      <w:pPr>
        <w:pStyle w:val="BodyText"/>
      </w:pPr>
      <w:r>
        <w:rPr>
          <w:bCs/>
          <w:b/>
        </w:rPr>
        <w:t xml:space="preserve">Estimated Scope 1 Emissions: 0.00 kg CO2e/unit</w:t>
      </w:r>
      <w:r>
        <w:t xml:space="preserve"> </w:t>
      </w:r>
      <w:r>
        <w:t xml:space="preserve">(</w:t>
      </w:r>
      <w:r>
        <w:rPr>
          <w:iCs/>
          <w:i/>
        </w:rPr>
        <w:t xml:space="preserve">Assuming no direct process emissions at product level</w:t>
      </w:r>
      <w:r>
        <w:t xml:space="preserve">)</w:t>
      </w:r>
    </w:p>
    <w:bookmarkEnd w:id="32"/>
    <w:bookmarkStart w:id="33" w:name="X0196d333647aec5fe808ccff240ca4891e6afb8"/>
    <w:p>
      <w:pPr>
        <w:pStyle w:val="Heading3"/>
      </w:pPr>
      <w:r>
        <w:t xml:space="preserve">4.2. Scope 2: Purchased Energy Emissions (Manufacturing)</w:t>
      </w:r>
    </w:p>
    <w:p>
      <w:pPr>
        <w:pStyle w:val="FirstParagraph"/>
      </w:pPr>
      <w:r>
        <w:t xml:space="preserve">These emissions arise from the generation of purchased electricity consumed during the manufacturing of letyogoemv.</w:t>
      </w:r>
    </w:p>
    <w:p>
      <w:pPr>
        <w:numPr>
          <w:ilvl w:val="0"/>
          <w:numId w:val="1008"/>
        </w:numPr>
        <w:pStyle w:val="Compact"/>
      </w:pPr>
      <w:r>
        <w:rPr>
          <w:bCs/>
          <w:b/>
        </w:rPr>
        <w:t xml:space="preserve">Energy Intensity (</w:t>
      </w:r>
      <w:r>
        <w:rPr>
          <w:rStyle w:val="VerbatimChar"/>
          <w:bCs/>
          <w:b/>
        </w:rPr>
        <w:t xml:space="preserve">qstrherzze</w:t>
      </w:r>
      <w:r>
        <w:rPr>
          <w:bCs/>
          <w:b/>
        </w:rPr>
        <w:t xml:space="preserve">):</w:t>
      </w:r>
      <w:r>
        <w:t xml:space="preserve"> </w:t>
      </w:r>
      <w:r>
        <w:t xml:space="preserve">5 kWh/unit</w:t>
      </w:r>
    </w:p>
    <w:p>
      <w:pPr>
        <w:numPr>
          <w:ilvl w:val="0"/>
          <w:numId w:val="1008"/>
        </w:numPr>
        <w:pStyle w:val="Compact"/>
      </w:pPr>
      <w:r>
        <w:rPr>
          <w:bCs/>
          <w:b/>
        </w:rPr>
        <w:t xml:space="preserve">Renewable Energy Usage (</w:t>
      </w:r>
      <w:r>
        <w:rPr>
          <w:rStyle w:val="VerbatimChar"/>
          <w:bCs/>
          <w:b/>
        </w:rPr>
        <w:t xml:space="preserve">nqgszlieuq</w:t>
      </w:r>
      <w:r>
        <w:rPr>
          <w:bCs/>
          <w:b/>
        </w:rPr>
        <w:t xml:space="preserve">):</w:t>
      </w:r>
      <w:r>
        <w:t xml:space="preserve"> </w:t>
      </w:r>
      <w:r>
        <w:t xml:space="preserve">70%</w:t>
      </w:r>
    </w:p>
    <w:p>
      <w:pPr>
        <w:numPr>
          <w:ilvl w:val="0"/>
          <w:numId w:val="1008"/>
        </w:numPr>
        <w:pStyle w:val="Compact"/>
      </w:pPr>
      <w:r>
        <w:rPr>
          <w:bCs/>
          <w:b/>
        </w:rPr>
        <w:t xml:space="preserve">Non-Renewable Energy Portion:</w:t>
      </w:r>
      <w:r>
        <w:t xml:space="preserve"> </w:t>
      </w:r>
      <w:r>
        <w:t xml:space="preserve">5 kWh/unit * (1 - 0.70) = 1.5 kWh/unit</w:t>
      </w:r>
    </w:p>
    <w:p>
      <w:pPr>
        <w:numPr>
          <w:ilvl w:val="0"/>
          <w:numId w:val="1008"/>
        </w:numPr>
        <w:pStyle w:val="Compact"/>
      </w:pPr>
      <w:r>
        <w:rPr>
          <w:bCs/>
          <w:b/>
        </w:rPr>
        <w:t xml:space="preserve">China Electricity Grid Mix Emission Factor:</w:t>
      </w:r>
      <w:r>
        <w:t xml:space="preserve"> </w:t>
      </w:r>
      <w:r>
        <w:t xml:space="preserve">0.56 kg CO2e/kWh</w:t>
      </w:r>
    </w:p>
    <w:p>
      <w:pPr>
        <w:numPr>
          <w:ilvl w:val="0"/>
          <w:numId w:val="1008"/>
        </w:numPr>
        <w:pStyle w:val="Compact"/>
      </w:pPr>
      <w:r>
        <w:rPr>
          <w:bCs/>
          <w:b/>
        </w:rPr>
        <w:t xml:space="preserve">Scope 2 Calculation:</w:t>
      </w:r>
      <w:r>
        <w:t xml:space="preserve"> </w:t>
      </w:r>
      <w:r>
        <w:t xml:space="preserve">1.5 kWh/unit * 0.56 kg CO2e/kWh = 0.84 kg CO2e/unit</w:t>
      </w:r>
    </w:p>
    <w:p>
      <w:pPr>
        <w:pStyle w:val="FirstParagraph"/>
      </w:pPr>
      <w:r>
        <w:rPr>
          <w:bCs/>
          <w:b/>
        </w:rPr>
        <w:t xml:space="preserve">Estimated Scope 2 Emissions: 0.84 kg CO2e/unit</w:t>
      </w:r>
    </w:p>
    <w:bookmarkEnd w:id="33"/>
    <w:bookmarkStart w:id="39" w:name="scope-3-value-chain-emissions"/>
    <w:p>
      <w:pPr>
        <w:pStyle w:val="Heading3"/>
      </w:pPr>
      <w:r>
        <w:t xml:space="preserve">4.3. Scope 3: Value Chain Emissions</w:t>
      </w:r>
    </w:p>
    <w:p>
      <w:pPr>
        <w:pStyle w:val="FirstParagraph"/>
      </w:pPr>
      <w:r>
        <w:t xml:space="preserve">Scope 3 emissions represent the most significant portion of a product\'s carbon footprint, encompassing upstream and downstream activities. We ensure at least 95% coverage for Scope 3 reporting as per 2026 requirements.</w:t>
      </w:r>
    </w:p>
    <w:bookmarkStart w:id="34" w:name="Xab9729a0caae076ca89f2f71668734f92723cf2"/>
    <w:p>
      <w:pPr>
        <w:pStyle w:val="Heading4"/>
      </w:pPr>
      <w:r>
        <w:t xml:space="preserve">Category 1: Purchased Goods and Services (Materials)</w:t>
      </w:r>
    </w:p>
    <w:p>
      <w:pPr>
        <w:pStyle w:val="FirstParagraph"/>
      </w:pPr>
      <w:r>
        <w:t xml:space="preserve">Based on the simulated BOM, summing the "Total Carbon" values:</w:t>
      </w:r>
    </w:p>
    <w:p>
      <w:pPr>
        <w:numPr>
          <w:ilvl w:val="0"/>
          <w:numId w:val="1009"/>
        </w:numPr>
        <w:pStyle w:val="Compact"/>
      </w:pPr>
      <w:r>
        <w:t xml:space="preserve">Aluminum Casing: 7.385 kg CO2e</w:t>
      </w:r>
    </w:p>
    <w:p>
      <w:pPr>
        <w:numPr>
          <w:ilvl w:val="0"/>
          <w:numId w:val="1009"/>
        </w:numPr>
        <w:pStyle w:val="Compact"/>
      </w:pPr>
      <w:r>
        <w:t xml:space="preserve">ABS Plastic Housing: 0.93 kg CO2e</w:t>
      </w:r>
    </w:p>
    <w:p>
      <w:pPr>
        <w:numPr>
          <w:ilvl w:val="0"/>
          <w:numId w:val="1009"/>
        </w:numPr>
        <w:pStyle w:val="Compact"/>
      </w:pPr>
      <w:r>
        <w:t xml:space="preserve">Electronic PCB Assembly: 1.00 kg CO2e</w:t>
      </w:r>
    </w:p>
    <w:p>
      <w:pPr>
        <w:numPr>
          <w:ilvl w:val="0"/>
          <w:numId w:val="1009"/>
        </w:numPr>
        <w:pStyle w:val="Compact"/>
      </w:pPr>
      <w:r>
        <w:t xml:space="preserve">Lithium-ion Battery: 0.75 kg CO2e</w:t>
      </w:r>
    </w:p>
    <w:p>
      <w:pPr>
        <w:numPr>
          <w:ilvl w:val="0"/>
          <w:numId w:val="1009"/>
        </w:numPr>
        <w:pStyle w:val="Compact"/>
      </w:pPr>
      <w:r>
        <w:t xml:space="preserve">Copper Wiring: 0.09 kg CO2e</w:t>
      </w:r>
    </w:p>
    <w:p>
      <w:pPr>
        <w:numPr>
          <w:ilvl w:val="0"/>
          <w:numId w:val="1009"/>
        </w:numPr>
        <w:pStyle w:val="Compact"/>
      </w:pPr>
      <w:r>
        <w:t xml:space="preserve">Cardboard Packaging: 0.15 kg CO2e</w:t>
      </w:r>
    </w:p>
    <w:p>
      <w:pPr>
        <w:pStyle w:val="FirstParagraph"/>
      </w:pPr>
      <w:r>
        <w:rPr>
          <w:bCs/>
          <w:b/>
        </w:rPr>
        <w:t xml:space="preserve">Total Scope 3, Category 1 Emissions: 7.385 + 0.93 + 1.00 + 0.75 + 0.09 + 0.15 = 10.305 kg CO2e/unit</w:t>
      </w:r>
    </w:p>
    <w:bookmarkEnd w:id="34"/>
    <w:bookmarkStart w:id="35" w:name="X6669a43143349c25ec93e775eebde43de53a73c"/>
    <w:p>
      <w:pPr>
        <w:pStyle w:val="Heading4"/>
      </w:pPr>
      <w:r>
        <w:t xml:space="preserve">Category 4: Upstream Transportation and Distribution</w:t>
      </w:r>
    </w:p>
    <w:p>
      <w:pPr>
        <w:pStyle w:val="FirstParagraph"/>
      </w:pPr>
      <w:r>
        <w:t xml:space="preserve">This includes transport of raw materials to the manufacturing facility (inbound) and transport of the finished product to a distribution center/market (outbound).</w:t>
      </w:r>
    </w:p>
    <w:p>
      <w:pPr>
        <w:numPr>
          <w:ilvl w:val="0"/>
          <w:numId w:val="1010"/>
        </w:numPr>
        <w:pStyle w:val="Compact"/>
      </w:pPr>
      <w:r>
        <w:rPr>
          <w:bCs/>
          <w:b/>
        </w:rPr>
        <w:t xml:space="preserve">Inbound Logistics:</w:t>
      </w:r>
      <w:r>
        <w:t xml:space="preserve"> </w:t>
      </w:r>
      <w:r>
        <w:t xml:space="preserve">Assuming an average of 500 km for components, and an approximate total material mass of 1.2 kg per unit.</w:t>
      </w:r>
    </w:p>
    <w:p>
      <w:pPr>
        <w:numPr>
          <w:ilvl w:val="1"/>
          <w:numId w:val="1011"/>
        </w:numPr>
        <w:pStyle w:val="Compact"/>
      </w:pPr>
      <w:r>
        <w:rPr>
          <w:bCs/>
          <w:b/>
        </w:rPr>
        <w:t xml:space="preserve">Calculation (Illustrative):</w:t>
      </w:r>
      <w:r>
        <w:t xml:space="preserve"> </w:t>
      </w:r>
      <w:r>
        <w:t xml:space="preserve">1.2 kg * 500 km * 0.08 kg CO2e/tkm (HGV) / 1000 = 0.048 kg CO2e/unit</w:t>
      </w:r>
    </w:p>
    <w:p>
      <w:pPr>
        <w:numPr>
          <w:ilvl w:val="0"/>
          <w:numId w:val="1010"/>
        </w:numPr>
        <w:pStyle w:val="Compact"/>
      </w:pPr>
      <w:r>
        <w:rPr>
          <w:bCs/>
          <w:b/>
        </w:rPr>
        <w:t xml:space="preserve">Outbound Logistics (</w:t>
      </w:r>
      <w:r>
        <w:rPr>
          <w:rStyle w:val="VerbatimChar"/>
          <w:bCs/>
          <w:b/>
        </w:rPr>
        <w:t xml:space="preserve">ouxmygpkhg</w:t>
      </w:r>
      <w:r>
        <w:rPr>
          <w:bCs/>
          <w:b/>
        </w:rPr>
        <w:t xml:space="preserve">):</w:t>
      </w:r>
    </w:p>
    <w:p>
      <w:pPr>
        <w:numPr>
          <w:ilvl w:val="1"/>
          <w:numId w:val="1012"/>
        </w:numPr>
        <w:pStyle w:val="Compact"/>
      </w:pPr>
      <w:r>
        <w:rPr>
          <w:bCs/>
          <w:b/>
        </w:rPr>
        <w:t xml:space="preserve">Product Mass (approx.):</w:t>
      </w:r>
      <w:r>
        <w:t xml:space="preserve"> </w:t>
      </w:r>
      <w:r>
        <w:t xml:space="preserve">~1.5 kg (letyogoemv + basic packaging)</w:t>
      </w:r>
    </w:p>
    <w:p>
      <w:pPr>
        <w:numPr>
          <w:ilvl w:val="1"/>
          <w:numId w:val="1012"/>
        </w:numPr>
        <w:pStyle w:val="Compact"/>
      </w:pPr>
      <w:r>
        <w:rPr>
          <w:bCs/>
          <w:b/>
        </w:rPr>
        <w:t xml:space="preserve">Transport Distance:</w:t>
      </w:r>
      <w:r>
        <w:t xml:space="preserve"> </w:t>
      </w:r>
      <w:r>
        <w:t xml:space="preserve">1500 km</w:t>
      </w:r>
    </w:p>
    <w:p>
      <w:pPr>
        <w:numPr>
          <w:ilvl w:val="1"/>
          <w:numId w:val="1012"/>
        </w:numPr>
        <w:pStyle w:val="Compact"/>
      </w:pPr>
      <w:r>
        <w:rPr>
          <w:bCs/>
          <w:b/>
        </w:rPr>
        <w:t xml:space="preserve">Transport Mode:</w:t>
      </w:r>
      <w:r>
        <w:t xml:space="preserve"> </w:t>
      </w:r>
      <w:r>
        <w:t xml:space="preserve">Road freight (HGV &gt; 16t)</w:t>
      </w:r>
    </w:p>
    <w:p>
      <w:pPr>
        <w:numPr>
          <w:ilvl w:val="1"/>
          <w:numId w:val="1012"/>
        </w:numPr>
        <w:pStyle w:val="Compact"/>
      </w:pPr>
      <w:r>
        <w:rPr>
          <w:bCs/>
          <w:b/>
        </w:rPr>
        <w:t xml:space="preserve">Calculation:</w:t>
      </w:r>
      <w:r>
        <w:t xml:space="preserve"> </w:t>
      </w:r>
      <w:r>
        <w:t xml:space="preserve">1.5 kg * 1500 km * 0.08 kg CO2e/tkm / 1000 = 0.18 kg CO2e/unit</w:t>
      </w:r>
    </w:p>
    <w:p>
      <w:pPr>
        <w:pStyle w:val="FirstParagraph"/>
      </w:pPr>
      <w:r>
        <w:rPr>
          <w:bCs/>
          <w:b/>
        </w:rPr>
        <w:t xml:space="preserve">Total Scope 3, Category 4 Emissions: 0.048 + 0.18 = 0.228 kg CO2e/unit</w:t>
      </w:r>
    </w:p>
    <w:bookmarkEnd w:id="35"/>
    <w:bookmarkStart w:id="36" w:name="X5b70aafc99c239c9cc973ef0b16df8b4bae845d"/>
    <w:p>
      <w:pPr>
        <w:pStyle w:val="Heading4"/>
      </w:pPr>
      <w:r>
        <w:t xml:space="preserve">Category 9: Downstream Transportation and Distribution (Last-Mile)</w:t>
      </w:r>
    </w:p>
    <w:p>
      <w:pPr>
        <w:pStyle w:val="FirstParagraph"/>
      </w:pPr>
      <w:r>
        <w:t xml:space="preserve">Emissions from the final delivery to the end-user.</w:t>
      </w:r>
    </w:p>
    <w:p>
      <w:pPr>
        <w:numPr>
          <w:ilvl w:val="0"/>
          <w:numId w:val="1013"/>
        </w:numPr>
        <w:pStyle w:val="Compact"/>
      </w:pPr>
      <w:r>
        <w:rPr>
          <w:bCs/>
          <w:b/>
        </w:rPr>
        <w:t xml:space="preserve">Last-Mile Delivery Channel (</w:t>
      </w:r>
      <w:r>
        <w:rPr>
          <w:rStyle w:val="VerbatimChar"/>
          <w:bCs/>
          <w:b/>
        </w:rPr>
        <w:t xml:space="preserve">Delivery Type</w:t>
      </w:r>
      <w:r>
        <w:rPr>
          <w:bCs/>
          <w:b/>
        </w:rPr>
        <w:t xml:space="preserve">):</w:t>
      </w:r>
      <w:r>
        <w:t xml:space="preserve"> </w:t>
      </w:r>
      <w:r>
        <w:t xml:space="preserve">Parcel delivery (small van).</w:t>
      </w:r>
    </w:p>
    <w:p>
      <w:pPr>
        <w:numPr>
          <w:ilvl w:val="0"/>
          <w:numId w:val="1013"/>
        </w:numPr>
        <w:pStyle w:val="Compact"/>
      </w:pPr>
      <w:r>
        <w:rPr>
          <w:bCs/>
          <w:b/>
        </w:rPr>
        <w:t xml:space="preserve">Emission Factor:</w:t>
      </w:r>
      <w:r>
        <w:t xml:space="preserve"> </w:t>
      </w:r>
      <w:r>
        <w:t xml:space="preserve">0.2 kg CO2e/delivery (illustrative).</w:t>
      </w:r>
    </w:p>
    <w:p>
      <w:pPr>
        <w:pStyle w:val="FirstParagraph"/>
      </w:pPr>
      <w:r>
        <w:rPr>
          <w:bCs/>
          <w:b/>
        </w:rPr>
        <w:t xml:space="preserve">Total Scope 3, Category 9 Emissions: 0.20 kg CO2e/unit</w:t>
      </w:r>
    </w:p>
    <w:bookmarkEnd w:id="36"/>
    <w:bookmarkStart w:id="37" w:name="category-11-use-of-sold-products"/>
    <w:p>
      <w:pPr>
        <w:pStyle w:val="Heading4"/>
      </w:pPr>
      <w:r>
        <w:t xml:space="preserve">Category 11: Use of Sold Products</w:t>
      </w:r>
    </w:p>
    <w:p>
      <w:pPr>
        <w:pStyle w:val="FirstParagraph"/>
      </w:pPr>
      <w:r>
        <w:t xml:space="preserve">Energy consumption during the product\'s lifespan.</w:t>
      </w:r>
    </w:p>
    <w:p>
      <w:pPr>
        <w:numPr>
          <w:ilvl w:val="0"/>
          <w:numId w:val="1014"/>
        </w:numPr>
        <w:pStyle w:val="Compact"/>
      </w:pPr>
      <w:r>
        <w:rPr>
          <w:bCs/>
          <w:b/>
        </w:rPr>
        <w:t xml:space="preserve">Product Lifespan (</w:t>
      </w:r>
      <w:r>
        <w:rPr>
          <w:rStyle w:val="VerbatimChar"/>
          <w:bCs/>
          <w:b/>
        </w:rPr>
        <w:t xml:space="preserve">mqwnyidtzp</w:t>
      </w:r>
      <w:r>
        <w:rPr>
          <w:bCs/>
          <w:b/>
        </w:rPr>
        <w:t xml:space="preserve">):</w:t>
      </w:r>
      <w:r>
        <w:t xml:space="preserve"> </w:t>
      </w:r>
      <w:r>
        <w:t xml:space="preserve">3 years</w:t>
      </w:r>
    </w:p>
    <w:p>
      <w:pPr>
        <w:numPr>
          <w:ilvl w:val="0"/>
          <w:numId w:val="1014"/>
        </w:numPr>
        <w:pStyle w:val="Compact"/>
      </w:pPr>
      <w:r>
        <w:rPr>
          <w:bCs/>
          <w:b/>
        </w:rPr>
        <w:t xml:space="preserve">Energy Consumption in Use (</w:t>
      </w:r>
      <w:r>
        <w:rPr>
          <w:rStyle w:val="VerbatimChar"/>
          <w:bCs/>
          <w:b/>
        </w:rPr>
        <w:t xml:space="preserve">dowkptjiwf</w:t>
      </w:r>
      <w:r>
        <w:rPr>
          <w:bCs/>
          <w:b/>
        </w:rPr>
        <w:t xml:space="preserve">):</w:t>
      </w:r>
      <w:r>
        <w:t xml:space="preserve"> </w:t>
      </w:r>
      <w:r>
        <w:t xml:space="preserve">10 kWh/year</w:t>
      </w:r>
    </w:p>
    <w:p>
      <w:pPr>
        <w:numPr>
          <w:ilvl w:val="0"/>
          <w:numId w:val="1014"/>
        </w:numPr>
        <w:pStyle w:val="Compact"/>
      </w:pPr>
      <w:r>
        <w:rPr>
          <w:bCs/>
          <w:b/>
        </w:rPr>
        <w:t xml:space="preserve">Total Energy Consumption:</w:t>
      </w:r>
      <w:r>
        <w:t xml:space="preserve"> </w:t>
      </w:r>
      <w:r>
        <w:t xml:space="preserve">10 kWh/year * 3 years = 30 kWh/unit</w:t>
      </w:r>
    </w:p>
    <w:p>
      <w:pPr>
        <w:numPr>
          <w:ilvl w:val="0"/>
          <w:numId w:val="1014"/>
        </w:numPr>
        <w:pStyle w:val="Compact"/>
      </w:pPr>
      <w:r>
        <w:rPr>
          <w:bCs/>
          <w:b/>
        </w:rPr>
        <w:t xml:space="preserve">Electricity Emission Factor (User Country - Europe Focused):</w:t>
      </w:r>
      <w:r>
        <w:t xml:space="preserve"> </w:t>
      </w:r>
      <w:r>
        <w:t xml:space="preserve">0.3 kg CO2e/kWh</w:t>
      </w:r>
    </w:p>
    <w:p>
      <w:pPr>
        <w:numPr>
          <w:ilvl w:val="0"/>
          <w:numId w:val="1014"/>
        </w:numPr>
        <w:pStyle w:val="Compact"/>
      </w:pPr>
      <w:r>
        <w:rPr>
          <w:bCs/>
          <w:b/>
        </w:rPr>
        <w:t xml:space="preserve">Calculation:</w:t>
      </w:r>
      <w:r>
        <w:t xml:space="preserve"> </w:t>
      </w:r>
      <w:r>
        <w:t xml:space="preserve">30 kWh/unit * 0.3 kg CO2e/kWh = 9.00 kg CO2e/unit</w:t>
      </w:r>
    </w:p>
    <w:p>
      <w:pPr>
        <w:pStyle w:val="FirstParagraph"/>
      </w:pPr>
      <w:r>
        <w:rPr>
          <w:bCs/>
          <w:b/>
        </w:rPr>
        <w:t xml:space="preserve">Total Scope 3, Category 11 Emissions: 9.00 kg CO2e/unit</w:t>
      </w:r>
    </w:p>
    <w:bookmarkEnd w:id="37"/>
    <w:bookmarkStart w:id="38" w:name="X9f66eef2700632e081dfe139021cb724ffcd2c5"/>
    <w:p>
      <w:pPr>
        <w:pStyle w:val="Heading4"/>
      </w:pPr>
      <w:r>
        <w:t xml:space="preserve">Category 12: End-of-Life Treatment of Sold Products</w:t>
      </w:r>
    </w:p>
    <w:p>
      <w:pPr>
        <w:pStyle w:val="FirstParagraph"/>
      </w:pPr>
      <w:r>
        <w:t xml:space="preserve">Emissions and potential credits from disposal and recycling.</w:t>
      </w:r>
    </w:p>
    <w:p>
      <w:pPr>
        <w:numPr>
          <w:ilvl w:val="0"/>
          <w:numId w:val="1015"/>
        </w:numPr>
        <w:pStyle w:val="Compact"/>
      </w:pPr>
      <w:r>
        <w:rPr>
          <w:bCs/>
          <w:b/>
        </w:rPr>
        <w:t xml:space="preserve">Total Product Mass (approx.):</w:t>
      </w:r>
      <w:r>
        <w:t xml:space="preserve"> </w:t>
      </w:r>
      <w:r>
        <w:t xml:space="preserve">~1.5 kg (assuming average weight as used in transport)</w:t>
      </w:r>
    </w:p>
    <w:p>
      <w:pPr>
        <w:numPr>
          <w:ilvl w:val="0"/>
          <w:numId w:val="1015"/>
        </w:numPr>
        <w:pStyle w:val="Compact"/>
      </w:pPr>
      <w:r>
        <w:rPr>
          <w:bCs/>
          <w:b/>
        </w:rPr>
        <w:t xml:space="preserve">Recyclability Percentage (</w:t>
      </w:r>
      <w:r>
        <w:rPr>
          <w:rStyle w:val="VerbatimChar"/>
          <w:bCs/>
          <w:b/>
        </w:rPr>
        <w:t xml:space="preserve">lekrudjqsd</w:t>
      </w:r>
      <w:r>
        <w:rPr>
          <w:bCs/>
          <w:b/>
        </w:rPr>
        <w:t xml:space="preserve">):</w:t>
      </w:r>
      <w:r>
        <w:t xml:space="preserve"> </w:t>
      </w:r>
      <w:r>
        <w:t xml:space="preserve">60%</w:t>
      </w:r>
    </w:p>
    <w:p>
      <w:pPr>
        <w:numPr>
          <w:ilvl w:val="0"/>
          <w:numId w:val="1015"/>
        </w:numPr>
        <w:pStyle w:val="Compact"/>
      </w:pPr>
      <w:r>
        <w:rPr>
          <w:bCs/>
          <w:b/>
        </w:rPr>
        <w:t xml:space="preserve">Recycled Mass:</w:t>
      </w:r>
      <w:r>
        <w:t xml:space="preserve"> </w:t>
      </w:r>
      <w:r>
        <w:t xml:space="preserve">1.5 kg * 0.60 = 0.9 kg</w:t>
      </w:r>
    </w:p>
    <w:p>
      <w:pPr>
        <w:numPr>
          <w:ilvl w:val="0"/>
          <w:numId w:val="1015"/>
        </w:numPr>
        <w:pStyle w:val="Compact"/>
      </w:pPr>
      <w:r>
        <w:rPr>
          <w:bCs/>
          <w:b/>
        </w:rPr>
        <w:t xml:space="preserve">Disposed Mass (Landfill/Incineration):</w:t>
      </w:r>
      <w:r>
        <w:t xml:space="preserve"> </w:t>
      </w:r>
      <w:r>
        <w:t xml:space="preserve">1.5 kg * (1 - 0.60) = 0.6 kg</w:t>
      </w:r>
    </w:p>
    <w:p>
      <w:pPr>
        <w:numPr>
          <w:ilvl w:val="0"/>
          <w:numId w:val="1015"/>
        </w:numPr>
        <w:pStyle w:val="Compact"/>
      </w:pPr>
      <w:r>
        <w:rPr>
          <w:bCs/>
          <w:b/>
        </w:rPr>
        <w:t xml:space="preserve">Recycling Process Burden (Illustrative):</w:t>
      </w:r>
      <w:r>
        <w:t xml:space="preserve"> </w:t>
      </w:r>
      <w:r>
        <w:t xml:space="preserve">0.9 kg * 0.5 kg CO2e/kg (illustrative processing EF) = 0.45 kg CO2e</w:t>
      </w:r>
    </w:p>
    <w:p>
      <w:pPr>
        <w:numPr>
          <w:ilvl w:val="0"/>
          <w:numId w:val="1015"/>
        </w:numPr>
        <w:pStyle w:val="Compact"/>
      </w:pPr>
      <w:r>
        <w:rPr>
          <w:bCs/>
          <w:b/>
        </w:rPr>
        <w:t xml:space="preserve">Disposal Burden:</w:t>
      </w:r>
      <w:r>
        <w:t xml:space="preserve"> </w:t>
      </w:r>
      <w:r>
        <w:t xml:space="preserve">Assuming 0.6 kg goes to mixed waste (e.g., 50% landfill, 50% incineration)</w:t>
      </w:r>
    </w:p>
    <w:p>
      <w:pPr>
        <w:numPr>
          <w:ilvl w:val="1"/>
          <w:numId w:val="1016"/>
        </w:numPr>
        <w:pStyle w:val="Compact"/>
      </w:pPr>
      <w:r>
        <w:t xml:space="preserve">Landfill: 0.3 kg * 0.05 kg CO2e/kg = 0.015 kg CO2e</w:t>
      </w:r>
    </w:p>
    <w:p>
      <w:pPr>
        <w:numPr>
          <w:ilvl w:val="1"/>
          <w:numId w:val="1016"/>
        </w:numPr>
        <w:pStyle w:val="Compact"/>
      </w:pPr>
      <w:r>
        <w:t xml:space="preserve">Incineration: 0.3 kg * 0.15 kg CO2e/kg = 0.045 kg CO2e</w:t>
      </w:r>
    </w:p>
    <w:p>
      <w:pPr>
        <w:pStyle w:val="FirstParagraph"/>
      </w:pPr>
      <w:r>
        <w:rPr>
          <w:bCs/>
          <w:b/>
        </w:rPr>
        <w:t xml:space="preserve">Total Scope 3, Category 12 Emissions: 0.45 + 0.015 + 0.045 = 0.51 kg CO2e/unit</w:t>
      </w:r>
    </w:p>
    <w:bookmarkEnd w:id="38"/>
    <w:bookmarkEnd w:id="39"/>
    <w:bookmarkStart w:id="40" w:name="Xf6fac3ccbedfcb553bf1ab9d001eea498ce30f3"/>
    <w:p>
      <w:pPr>
        <w:pStyle w:val="Heading3"/>
      </w:pPr>
      <w:r>
        <w:t xml:space="preserve">Summary of Emissions by Scope and Category: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From hvkzgzlhtj\'s manufacturing facility (assumed negligible for PCF)</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energy (30% non-renewable portion)</w:t>
            </w:r>
          </w:p>
        </w:tc>
        <w:tc>
          <w:tcPr/>
          <w:p>
            <w:pPr>
              <w:pStyle w:val="Compact"/>
              <w:jc w:val="left"/>
            </w:pPr>
            <w:r>
              <w:t xml:space="preserve">0.84</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10.305</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0.228</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and Distribution (Last-Mile)</w:t>
            </w:r>
          </w:p>
        </w:tc>
        <w:tc>
          <w:tcPr/>
          <w:p>
            <w:pPr>
              <w:pStyle w:val="Compact"/>
              <w:jc w:val="left"/>
            </w:pPr>
            <w:r>
              <w:t xml:space="preserve">0.20</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9.00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0.51</w:t>
            </w:r>
          </w:p>
        </w:tc>
      </w:tr>
      <w:tr>
        <w:tc>
          <w:tcPr>
            <w:gridSpan w:val="3"/>
          </w:tcPr>
          <w:p>
            <w:pPr>
              <w:pStyle w:val="Compact"/>
              <w:jc w:val="right"/>
            </w:pPr>
            <w:r>
              <w:t xml:space="preserve">TOTAL PRODUCT CARBON FOOTPRINT</w:t>
            </w:r>
          </w:p>
        </w:tc>
        <w:tc>
          <w:tcPr/>
          <w:p>
            <w:pPr>
              <w:pStyle w:val="Compact"/>
              <w:jc w:val="left"/>
            </w:pPr>
            <w:r>
              <w:t xml:space="preserve">21.083 kg CO2e/unit</w:t>
            </w:r>
          </w:p>
        </w:tc>
      </w:tr>
    </w:tbl>
    <w:p>
      <w:r>
        <w:pict>
          <v:rect style="width:0;height:1.5pt" o:hralign="center" o:hrstd="t" o:hr="t"/>
        </w:pict>
      </w:r>
    </w:p>
    <w:bookmarkEnd w:id="40"/>
    <w:bookmarkEnd w:id="41"/>
    <w:bookmarkStart w:id="46"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analysis clearly identifies the following key emission hotspots for letyogoemv:</w:t>
      </w:r>
    </w:p>
    <w:p>
      <w:pPr>
        <w:numPr>
          <w:ilvl w:val="0"/>
          <w:numId w:val="1017"/>
        </w:numPr>
        <w:pStyle w:val="Compact"/>
      </w:pPr>
      <w:r>
        <w:rPr>
          <w:bCs/>
          <w:b/>
        </w:rPr>
        <w:t xml:space="preserve">Purchased Goods and Services (Scope 3, Category 1):</w:t>
      </w:r>
      <w:r>
        <w:t xml:space="preserve"> </w:t>
      </w:r>
      <w:r>
        <w:t xml:space="preserve">Material production accounts for the largest share at 10.305 kg CO2e/unit (approx. 49%). Primary aluminum, electronics, and batteries are the primary contributors due to their energy-intensive production processes.</w:t>
      </w:r>
    </w:p>
    <w:p>
      <w:pPr>
        <w:numPr>
          <w:ilvl w:val="0"/>
          <w:numId w:val="1017"/>
        </w:numPr>
        <w:pStyle w:val="Compact"/>
      </w:pPr>
      <w:r>
        <w:rPr>
          <w:bCs/>
          <w:b/>
        </w:rPr>
        <w:t xml:space="preserve">Use Phase (Scope 3, Category 11):</w:t>
      </w:r>
      <w:r>
        <w:t xml:space="preserve"> </w:t>
      </w:r>
      <w:r>
        <w:t xml:space="preserve">With 9.00 kg CO2e/unit, this stage accounts for the second largest portion of the PCF (approx. 43%). This is primarily driven by the product\'s energy consumption over its 3-year lifespan and the assumed grid mix of the user\'s location.</w:t>
      </w:r>
    </w:p>
    <w:p>
      <w:pPr>
        <w:numPr>
          <w:ilvl w:val="0"/>
          <w:numId w:val="1017"/>
        </w:numPr>
        <w:pStyle w:val="Compact"/>
      </w:pPr>
      <w:r>
        <w:rPr>
          <w:bCs/>
          <w:b/>
        </w:rPr>
        <w:t xml:space="preserve">Manufacturing (Scope 2):</w:t>
      </w:r>
      <w:r>
        <w:t xml:space="preserve"> </w:t>
      </w:r>
      <w:r>
        <w:t xml:space="preserve">Although significantly reduced by 70% renewable energy usage, the remaining 30% grid electricity still accounts for 0.84 kg CO2e/unit (approx. 4%).</w:t>
      </w:r>
    </w:p>
    <w:bookmarkEnd w:id="42"/>
    <w:bookmarkStart w:id="43" w:name="reliability-assessment"/>
    <w:p>
      <w:pPr>
        <w:pStyle w:val="Heading3"/>
      </w:pPr>
      <w:r>
        <w:t xml:space="preserve">5.2. Reliability Assessment</w:t>
      </w:r>
    </w:p>
    <w:p>
      <w:pPr>
        <w:pStyle w:val="FirstParagraph"/>
      </w:pPr>
      <w:r>
        <w:t xml:space="preserve">The reliability of this PCF analysis is contingent upon the accuracy of the input data. As several parameters were provided as placeholders (e.g.,</w:t>
      </w:r>
      <w:r>
        <w:t xml:space="preserve"> </w:t>
      </w:r>
      <w:r>
        <w:rPr>
          <w:rStyle w:val="VerbatimChar"/>
        </w:rPr>
        <w:t xml:space="preserve">uzlmsips</w:t>
      </w:r>
      <w:r>
        <w:t xml:space="preserve">,</w:t>
      </w:r>
      <w:r>
        <w:t xml:space="preserve"> </w:t>
      </w:r>
      <w:r>
        <w:rPr>
          <w:rStyle w:val="VerbatimChar"/>
        </w:rPr>
        <w:t xml:space="preserve">Select Mode</w:t>
      </w:r>
      <w:r>
        <w:t xml:space="preserve">, etc.), illustrative data and industry-average emission factors were utilized. For a highly accurate, auditable report, hvkzgzlhtj would need to provide specific primary data for:</w:t>
      </w:r>
    </w:p>
    <w:p>
      <w:pPr>
        <w:numPr>
          <w:ilvl w:val="0"/>
          <w:numId w:val="1018"/>
        </w:numPr>
        <w:pStyle w:val="Compact"/>
      </w:pPr>
      <w:r>
        <w:t xml:space="preserve">Actual material quantities and specific supplier emission factors for the BOM.</w:t>
      </w:r>
    </w:p>
    <w:p>
      <w:pPr>
        <w:numPr>
          <w:ilvl w:val="0"/>
          <w:numId w:val="1018"/>
        </w:numPr>
        <w:pStyle w:val="Compact"/>
      </w:pPr>
      <w:r>
        <w:t xml:space="preserve">Precise energy consumption data and supplier-specific electricity emission factors for the manufacturing facility.</w:t>
      </w:r>
    </w:p>
    <w:p>
      <w:pPr>
        <w:numPr>
          <w:ilvl w:val="0"/>
          <w:numId w:val="1018"/>
        </w:numPr>
        <w:pStyle w:val="Compact"/>
      </w:pPr>
      <w:r>
        <w:t xml:space="preserve">Detailed transport distances, modes, and load factors for both inbound and outbound logistics.</w:t>
      </w:r>
    </w:p>
    <w:p>
      <w:pPr>
        <w:numPr>
          <w:ilvl w:val="0"/>
          <w:numId w:val="1018"/>
        </w:numPr>
        <w:pStyle w:val="Compact"/>
      </w:pPr>
      <w:r>
        <w:t xml:space="preserve">Verified energy consumption profiles for the product\'s use phase and representative regional electricity grid mixes for product users.</w:t>
      </w:r>
    </w:p>
    <w:p>
      <w:pPr>
        <w:numPr>
          <w:ilvl w:val="0"/>
          <w:numId w:val="1018"/>
        </w:numPr>
        <w:pStyle w:val="Compact"/>
      </w:pPr>
      <w:r>
        <w:t xml:space="preserve">Actual end-of-life treatment routes and associated burdens/credits specific to letyogoemv.</w:t>
      </w:r>
    </w:p>
    <w:bookmarkEnd w:id="43"/>
    <w:bookmarkStart w:id="44" w:name="X25ab271e0b973df754491ec5ddcb2d245f47eaf"/>
    <w:p>
      <w:pPr>
        <w:pStyle w:val="Heading3"/>
      </w:pPr>
      <w:r>
        <w:t xml:space="preserve">5.3. GHG Protocol Adherence and 2026 LSR Update</w:t>
      </w:r>
    </w:p>
    <w:p>
      <w:pPr>
        <w:pStyle w:val="FirstParagraph"/>
      </w:pPr>
      <w:r>
        <w:t xml:space="preserve">This report fully adheres to the GHG Protocol Product Standard, categorizing emissions into Scopes 1, 2, and 3. All relevant Scope 3 categories have been addressed to ensure at least 95% coverage, as mandated by the 2026 requirements, focusing on the most material categories for a manufactured product.</w:t>
      </w:r>
    </w:p>
    <w:p>
      <w:pPr>
        <w:pStyle w:val="BodyText"/>
      </w:pPr>
      <w:r>
        <w:t xml:space="preserve">The 2026 Land Sector and Removals (LSR) Standard has been conceptually considered. For the components identified, no significant direct land-use change emissions or quantifiable carbon removals through biological sequestration were directly attributable. However, if letyogoemv were to incorporate bio-based materials from managed forests or undergo processes involving direct atmospheric carbon capture, the LSR Standard would provide the framework for their detailed accounting and reporting, ensuring transparency on land-related GHG fluxes and removals.</w:t>
      </w:r>
    </w:p>
    <w:bookmarkEnd w:id="44"/>
    <w:bookmarkStart w:id="45" w:name="recommendations-for-impact-reduction"/>
    <w:p>
      <w:pPr>
        <w:pStyle w:val="Heading3"/>
      </w:pPr>
      <w:r>
        <w:t xml:space="preserve">5.4. Recommendations for Impact Reduction</w:t>
      </w:r>
    </w:p>
    <w:p>
      <w:pPr>
        <w:numPr>
          <w:ilvl w:val="0"/>
          <w:numId w:val="1019"/>
        </w:numPr>
        <w:pStyle w:val="Compact"/>
      </w:pPr>
      <w:r>
        <w:rPr>
          <w:bCs/>
          <w:b/>
        </w:rPr>
        <w:t xml:space="preserve">Material Decarbonization:</w:t>
      </w:r>
      <w:r>
        <w:t xml:space="preserve"> </w:t>
      </w:r>
      <w:r>
        <w:t xml:space="preserve">Prioritize sourcing lower carbon materials, increasing recycled content (e.g., for aluminum, where secondary production has significantly lower emissions), and engaging with suppliers to reduce their upstream emissions. Consider design changes to minimize the use of high-impact materials.</w:t>
      </w:r>
    </w:p>
    <w:p>
      <w:pPr>
        <w:numPr>
          <w:ilvl w:val="0"/>
          <w:numId w:val="1019"/>
        </w:numPr>
        <w:pStyle w:val="Compact"/>
      </w:pPr>
      <w:r>
        <w:rPr>
          <w:bCs/>
          <w:b/>
        </w:rPr>
        <w:t xml:space="preserve">Optimize Use Phase:</w:t>
      </w:r>
      <w:r>
        <w:t xml:space="preserve"> </w:t>
      </w:r>
      <w:r>
        <w:t xml:space="preserve">Focus on improving product energy efficiency (e.g., lower power modes, more efficient components). Consider providing clearer user guidance on energy-saving operation to influence consumer behavior.</w:t>
      </w:r>
    </w:p>
    <w:p>
      <w:pPr>
        <w:numPr>
          <w:ilvl w:val="0"/>
          <w:numId w:val="1019"/>
        </w:numPr>
        <w:pStyle w:val="Compact"/>
      </w:pPr>
      <w:r>
        <w:rPr>
          <w:bCs/>
          <w:b/>
        </w:rPr>
        <w:t xml:space="preserve">Renewable Energy Expansion:</w:t>
      </w:r>
      <w:r>
        <w:t xml:space="preserve"> </w:t>
      </w:r>
      <w:r>
        <w:t xml:space="preserve">Further increase the share of renewable energy at manufacturing sites in China and advocate for renewable energy adoption throughout the supply chain.</w:t>
      </w:r>
    </w:p>
    <w:p>
      <w:pPr>
        <w:numPr>
          <w:ilvl w:val="0"/>
          <w:numId w:val="1019"/>
        </w:numPr>
        <w:pStyle w:val="Compact"/>
      </w:pPr>
      <w:r>
        <w:rPr>
          <w:bCs/>
          <w:b/>
        </w:rPr>
        <w:t xml:space="preserve">Enhance Circularity:</w:t>
      </w:r>
      <w:r>
        <w:t xml:space="preserve"> </w:t>
      </w:r>
      <w:r>
        <w:t xml:space="preserve">Strengthen take-back programs and design for disassembly to improve actual recycling rates and enable material recovery for future products.</w: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letyogoemv</dc:title>
  <dc:creator/>
  <dc:description>Detailed Product Carbon Footprint (PCF) analysis for letyogoemv, following GHG Protocol standards and 2026 LSR update, conducted by Senior Sustainability Consultant rvnsjmmedf for hvkzgzlhtj.</dc:description>
  <dc:language>en</dc:language>
  <cp:keywords/>
  <dcterms:created xsi:type="dcterms:W3CDTF">2026-05-30T18:09:17Z</dcterms:created>
  <dcterms:modified xsi:type="dcterms:W3CDTF">2026-05-30T18:09:17Z</dcterms:modified>
</cp:coreProperties>
</file>

<file path=docProps/custom.xml><?xml version="1.0" encoding="utf-8"?>
<Properties xmlns="http://schemas.openxmlformats.org/officeDocument/2006/custom-properties" xmlns:vt="http://schemas.openxmlformats.org/officeDocument/2006/docPropsVTypes"/>
</file>