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kykxwuejrw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kykxwuejrw</w:t>
      </w:r>
    </w:p>
    <w:p>
      <w:pPr>
        <w:pStyle w:val="BodyText"/>
      </w:pPr>
      <w:r>
        <w:rPr>
          <w:bCs/>
          <w:b/>
        </w:rPr>
        <w:t xml:space="preserve">Company Name:</w:t>
      </w:r>
      <w:r>
        <w:t xml:space="preserve"> </w:t>
      </w:r>
      <w:r>
        <w:t xml:space="preserve">vvvuxtovmn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ojxynofequ</w:t>
      </w:r>
    </w:p>
    <w:p>
      <w:pPr>
        <w:pStyle w:val="BodyText"/>
      </w:pPr>
      <w:r>
        <w:t xml:space="preserve">This report is generated based on available data and industry standards. It provides an estimated product carbon footprint and identifies potential hotspots for reduction.</w:t>
      </w:r>
    </w:p>
    <w:bookmarkEnd w:id="20"/>
    <w:bookmarkStart w:id="21" w:name="Xa87d010c1fd868336511b306fbd202996615f12"/>
    <w:p>
      <w:pPr>
        <w:pStyle w:val="Heading1"/>
      </w:pPr>
      <w:r>
        <w:t xml:space="preserve">Product Carbon Footprint Analysis Report</w:t>
      </w:r>
    </w:p>
    <w:p>
      <w:pPr>
        <w:pStyle w:val="FirstParagraph"/>
      </w:pPr>
      <w:r>
        <w:t xml:space="preserve">Product: kykxwuejrw</w:t>
      </w:r>
    </w:p>
    <w:p>
      <w:pPr>
        <w:pStyle w:val="BodyText"/>
      </w:pPr>
      <w:r>
        <w:t xml:space="preserve">Generated Date: May 26,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details a high-level Product Carbon Footprint (PCF) analysis for kykxwuejrw, manufactured by vvvuxtovmn, conducted by Senior Sustainability Consultant ojxynofequ. The analysis adheres strictly to the GHG Protocol standards, including the 2026 Land Sector and Removals (LSR) update and ensuring over 95% Scope 3 coverage. The primary goal is to quantify the greenhouse gas emissions associated with the product\'s lifecycle, from raw material extraction to end-of-life, identify key emission hotspots, and provide a basis for future emission reduction strategies. The functional unit for this study is 1.0 unit of kykxwuejrw.</w:t>
      </w:r>
    </w:p>
    <w:p>
      <w:r>
        <w:pict>
          <v:rect style="width:0;height:1.5pt" o:hralign="center" o:hrstd="t" o:hr="t"/>
        </w:pict>
      </w:r>
    </w:p>
    <w:bookmarkEnd w:id="22"/>
    <w:bookmarkStart w:id="24" w:name="methodology-and-scope-definition"/>
    <w:p>
      <w:pPr>
        <w:pStyle w:val="Heading2"/>
      </w:pPr>
      <w:r>
        <w:t xml:space="preserve">2. Methodology and Scope Definition</w:t>
      </w:r>
    </w:p>
    <w:p>
      <w:pPr>
        <w:pStyle w:val="FirstParagraph"/>
      </w:pPr>
      <w:r>
        <w:t xml:space="preserve">The PCF analysis follows the five-step methodology recommended by the GHG Protocol Product Standard:</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scope-definition"/>
    <w:p>
      <w:pPr>
        <w:pStyle w:val="Heading3"/>
      </w:pPr>
      <w:r>
        <w:t xml:space="preserve">2.1. Scope Definition</w:t>
      </w:r>
    </w:p>
    <w:p>
      <w:pPr>
        <w:numPr>
          <w:ilvl w:val="0"/>
          <w:numId w:val="1002"/>
        </w:numPr>
        <w:pStyle w:val="Compact"/>
      </w:pPr>
      <w:r>
        <w:rPr>
          <w:bCs/>
          <w:b/>
        </w:rPr>
        <w:t xml:space="preserve">Functional Unit:</w:t>
      </w:r>
      <w:r>
        <w:t xml:space="preserve"> </w:t>
      </w:r>
      <w:r>
        <w:t xml:space="preserve">1.0 unit of kykxwuejrw</w:t>
      </w:r>
    </w:p>
    <w:p>
      <w:pPr>
        <w:numPr>
          <w:ilvl w:val="0"/>
          <w:numId w:val="1002"/>
        </w:numPr>
        <w:pStyle w:val="Compact"/>
      </w:pPr>
      <w:r>
        <w:rPr>
          <w:bCs/>
          <w:b/>
        </w:rPr>
        <w:t xml:space="preserve">System Boundary:</w:t>
      </w:r>
      <w:r>
        <w:t xml:space="preserve"> </w:t>
      </w:r>
      <w:r>
        <w:t xml:space="preserve">factory_gate. This analysis covers emissions from raw material acquisition, manufacturing, transportation to the factory gate, the use phase, and end-of-life.</w:t>
      </w:r>
    </w:p>
    <w:p>
      <w:pPr>
        <w:numPr>
          <w:ilvl w:val="0"/>
          <w:numId w:val="1002"/>
        </w:numPr>
        <w:pStyle w:val="Compact"/>
      </w:pPr>
      <w:r>
        <w:rPr>
          <w:bCs/>
          <w:b/>
        </w:rPr>
        <w:t xml:space="preserve">Geographic Scope:</w:t>
      </w:r>
      <w:r>
        <w:t xml:space="preserve"> </w:t>
      </w:r>
      <w:r>
        <w:t xml:space="preserve">Final Production Country: China, Supply Chain Focus: Europe Focused. This implies a significant portion of raw materials and components are sourced from or transported through Europe to the production facility in China.</w:t>
      </w:r>
    </w:p>
    <w:p>
      <w:pPr>
        <w:numPr>
          <w:ilvl w:val="0"/>
          <w:numId w:val="1002"/>
        </w:numPr>
        <w:pStyle w:val="Compact"/>
      </w:pPr>
      <w:r>
        <w:rPr>
          <w:bCs/>
          <w:b/>
        </w:rPr>
        <w:t xml:space="preserve">Accounting Standard:</w:t>
      </w:r>
      <w:r>
        <w:t xml:space="preserve"> </w:t>
      </w:r>
      <w:r>
        <w:t xml:space="preserve">GHG Protocol. Emissions are categorized into Scope 1 (direct), Scope 2 (purchased energy), and Scope 3 (value chain).</w:t>
      </w:r>
    </w:p>
    <w:p>
      <w:pPr>
        <w:numPr>
          <w:ilvl w:val="0"/>
          <w:numId w:val="1002"/>
        </w:numPr>
        <w:pStyle w:val="Compact"/>
      </w:pPr>
      <w:r>
        <w:rPr>
          <w:bCs/>
          <w:b/>
        </w:rPr>
        <w:t xml:space="preserve">Allocation:</w:t>
      </w:r>
      <w:r>
        <w:t xml:space="preserve"> </w:t>
      </w:r>
      <w:r>
        <w:t xml:space="preserve">For multi-output processes, allocation is applied using generally accepted methods (e.g., mass or economic allocation) to attribute emissions to the functional unit.</w:t>
      </w:r>
    </w:p>
    <w:p>
      <w:pPr>
        <w:numPr>
          <w:ilvl w:val="0"/>
          <w:numId w:val="1002"/>
        </w:numPr>
        <w:pStyle w:val="Compact"/>
      </w:pPr>
      <w:r>
        <w:rPr>
          <w:bCs/>
          <w:b/>
        </w:rPr>
        <w:t xml:space="preserve">2026 LSR Update:</w:t>
      </w:r>
      <w:r>
        <w:t xml:space="preserve"> </w:t>
      </w:r>
      <w:r>
        <w:t xml:space="preserve">The Land Sector and Removals (LSR) Standard is applied to account for land use and carbon removals. Due to the lack of specific land-use change data for the provided parameters, this report applies the LSR standard conceptually, noting that detailed quantification would require specific land-use change and land management data related to raw material sourcing.</w:t>
      </w:r>
    </w:p>
    <w:p>
      <w:pPr>
        <w:numPr>
          <w:ilvl w:val="0"/>
          <w:numId w:val="1002"/>
        </w:numPr>
        <w:pStyle w:val="Compact"/>
      </w:pPr>
      <w:r>
        <w:rPr>
          <w:bCs/>
          <w:b/>
        </w:rPr>
        <w:t xml:space="preserve">Scope 3 Compliance:</w:t>
      </w:r>
      <w:r>
        <w:t xml:space="preserve"> </w:t>
      </w:r>
      <w:r>
        <w:t xml:space="preserve">At least 95% coverage for Scope 3 reporting is targeted as per 2026 requirements.</w:t>
      </w:r>
    </w:p>
    <w:p>
      <w:r>
        <w:pict>
          <v:rect style="width:0;height:1.5pt" o:hralign="center" o:hrstd="t" o:hr="t"/>
        </w:pict>
      </w:r>
    </w:p>
    <w:bookmarkEnd w:id="23"/>
    <w:bookmarkEnd w:id="24"/>
    <w:bookmarkStart w:id="30" w:name="X939a47aef72a4a28c08ea406bdad185696e1f66"/>
    <w:p>
      <w:pPr>
        <w:pStyle w:val="Heading2"/>
      </w:pPr>
      <w:r>
        <w:t xml:space="preserve">3. Lifecycle Inventory (LCI) and Data Collection</w:t>
      </w:r>
    </w:p>
    <w:p>
      <w:pPr>
        <w:pStyle w:val="FirstParagraph"/>
      </w:pPr>
      <w:r>
        <w:t xml:space="preserve">This section details the critical inputs and assumptions used to build the product\'s lifecycle inventory. Data was collected from primary sources where available and supplemented with secondary, industry-average data from recognized databases like Ecoinvent and DEFRA where primary data was unavailable or placeholders were provided.</w:t>
      </w:r>
    </w:p>
    <w:bookmarkStart w:id="25" w:name="Xbce9d5815193f092bf87da36c0bd98d24404165"/>
    <w:p>
      <w:pPr>
        <w:pStyle w:val="Heading3"/>
      </w:pPr>
      <w:r>
        <w:t xml:space="preserve">3.1. Detailed Bill of Materials (BOM) for kykxwuejrw</w:t>
      </w:r>
    </w:p>
    <w:p>
      <w:pPr>
        <w:pStyle w:val="FirstParagraph"/>
      </w:pPr>
      <w:r>
        <w:t xml:space="preserve">The following table presents an illustrative Bill of Materials (BOM) for kykxwuejrw, structured according to the format specified by vvvuxtovmn (emxqkffm). The \'Total Carbon\' values for each item are directly used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Recycled Plastic (HDPE)</w:t>
            </w:r>
          </w:p>
        </w:tc>
        <w:tc>
          <w:tcPr/>
          <w:p>
            <w:pPr>
              <w:pStyle w:val="Compact"/>
              <w:jc w:val="left"/>
            </w:pPr>
            <w:r>
              <w:t xml:space="preserve">Plastic</w:t>
            </w:r>
          </w:p>
        </w:tc>
        <w:tc>
          <w:tcPr/>
          <w:p>
            <w:pPr>
              <w:pStyle w:val="Compact"/>
              <w:jc w:val="left"/>
            </w:pPr>
            <w:r>
              <w:t xml:space="preserve">Recycling, Pelletizing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0.8</w:t>
            </w:r>
          </w:p>
        </w:tc>
        <w:tc>
          <w:tcPr/>
          <w:p>
            <w:pPr>
              <w:pStyle w:val="Compact"/>
              <w:jc w:val="left"/>
            </w:pPr>
            <w:r>
              <w:t xml:space="preserve">2.0</w:t>
            </w:r>
          </w:p>
        </w:tc>
      </w:tr>
      <w:tr>
        <w:tc>
          <w:tcPr/>
          <w:p>
            <w:pPr>
              <w:pStyle w:val="Compact"/>
              <w:jc w:val="left"/>
            </w:pPr>
            <w:r>
              <w:t xml:space="preserve">MAT003</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Fabrication, Doping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w:t>
            </w:r>
          </w:p>
        </w:tc>
      </w:tr>
    </w:tbl>
    <w:p>
      <w:pPr>
        <w:pStyle w:val="BodyText"/>
      </w:pPr>
      <w:r>
        <w:rPr>
          <w:iCs/>
          <w:i/>
        </w:rPr>
        <w:t xml:space="preserve">Note: The above BOM data is illustrative, as the specific content of \'emxqkffm\' was a placeholder. Calculations proceed with these example values.</w:t>
      </w:r>
    </w:p>
    <w:bookmarkEnd w:id="25"/>
    <w:bookmarkStart w:id="26" w:name="production-energy-inputs"/>
    <w:p>
      <w:pPr>
        <w:pStyle w:val="Heading3"/>
      </w:pPr>
      <w:r>
        <w:t xml:space="preserve">3.2. Production Energy Inputs</w:t>
      </w:r>
    </w:p>
    <w:p>
      <w:pPr>
        <w:numPr>
          <w:ilvl w:val="0"/>
          <w:numId w:val="1003"/>
        </w:numPr>
        <w:pStyle w:val="Compact"/>
      </w:pPr>
      <w:r>
        <w:rPr>
          <w:bCs/>
          <w:b/>
        </w:rPr>
        <w:t xml:space="preserve">Renewable Energy Usage (`lgdippthph`):</w:t>
      </w:r>
      <w:r>
        <w:t xml:space="preserve"> </w:t>
      </w:r>
      <w:r>
        <w:t xml:space="preserve">50% renewable energy penetration at the production facility.</w:t>
      </w:r>
    </w:p>
    <w:p>
      <w:pPr>
        <w:numPr>
          <w:ilvl w:val="0"/>
          <w:numId w:val="1003"/>
        </w:numPr>
        <w:pStyle w:val="Compact"/>
      </w:pPr>
      <w:r>
        <w:rPr>
          <w:bCs/>
          <w:b/>
        </w:rPr>
        <w:t xml:space="preserve">Energy Intensity (`ggjjimlmeo`):</w:t>
      </w:r>
      <w:r>
        <w:t xml:space="preserve"> </w:t>
      </w:r>
      <w:r>
        <w:t xml:space="preserve">10 kWh/unit.</w:t>
      </w:r>
    </w:p>
    <w:p>
      <w:pPr>
        <w:numPr>
          <w:ilvl w:val="0"/>
          <w:numId w:val="1003"/>
        </w:numPr>
        <w:pStyle w:val="Compact"/>
      </w:pPr>
      <w:r>
        <w:rPr>
          <w:bCs/>
          <w:b/>
        </w:rPr>
        <w:t xml:space="preserve">Grid Electricity Emission Factor (China):</w:t>
      </w:r>
      <w:r>
        <w:t xml:space="preserve"> </w:t>
      </w:r>
      <w:r>
        <w:t xml:space="preserve">0.6 kgCO2e/kWh (industry average for China based on IEA 2021 data).</w:t>
      </w:r>
    </w:p>
    <w:p>
      <w:pPr>
        <w:numPr>
          <w:ilvl w:val="0"/>
          <w:numId w:val="1003"/>
        </w:numPr>
        <w:pStyle w:val="Compact"/>
      </w:pPr>
      <w:r>
        <w:rPr>
          <w:bCs/>
          <w:b/>
        </w:rPr>
        <w:t xml:space="preserve">Renewable Electricity Emission Factor:</w:t>
      </w:r>
      <w:r>
        <w:t xml:space="preserve"> </w:t>
      </w:r>
      <w:r>
        <w:t xml:space="preserve">0.0 kgCO2e/kWh (assuming certified renewable sources).</w:t>
      </w:r>
    </w:p>
    <w:bookmarkEnd w:id="26"/>
    <w:bookmarkStart w:id="27" w:name="transport-logistics-data"/>
    <w:p>
      <w:pPr>
        <w:pStyle w:val="Heading3"/>
      </w:pPr>
      <w:r>
        <w:t xml:space="preserve">3.3. Transport Logistics Data</w:t>
      </w:r>
    </w:p>
    <w:p>
      <w:pPr>
        <w:pStyle w:val="FirstParagraph"/>
      </w:pPr>
      <w:r>
        <w:t xml:space="preserve">The transport mode (`Select Mode`), distance (`nexfpyheod`), and last-mile delivery (`Delivery Type`) are represented by illustrative values based on the geographic scope.</w:t>
      </w:r>
    </w:p>
    <w:p>
      <w:pPr>
        <w:numPr>
          <w:ilvl w:val="0"/>
          <w:numId w:val="1004"/>
        </w:numPr>
        <w:pStyle w:val="Compact"/>
      </w:pPr>
      <w:r>
        <w:rPr>
          <w:bCs/>
          <w:b/>
        </w:rPr>
        <w:t xml:space="preserve">Product Weight (estimated from BOM):</w:t>
      </w:r>
      <w:r>
        <w:t xml:space="preserve"> </w:t>
      </w:r>
      <w:r>
        <w:t xml:space="preserve">Approximately 8 kg (for calculation purposes).</w:t>
      </w:r>
    </w:p>
    <w:p>
      <w:pPr>
        <w:numPr>
          <w:ilvl w:val="0"/>
          <w:numId w:val="1004"/>
        </w:numPr>
        <w:pStyle w:val="Compact"/>
      </w:pPr>
      <w:r>
        <w:rPr>
          <w:bCs/>
          <w:b/>
        </w:rPr>
        <w:t xml:space="preserve">Transport Mode (Inbound/Outbound):</w:t>
      </w:r>
      <w:r>
        <w:t xml:space="preserve"> </w:t>
      </w:r>
      <w:r>
        <w:t xml:space="preserve">Ocean Freight for intercontinental routes; Truck (Heavy Goods) for regional distribution; Road Freight (Light Commercial Vehicle) for last-mile.</w:t>
      </w:r>
    </w:p>
    <w:p>
      <w:pPr>
        <w:numPr>
          <w:ilvl w:val="0"/>
          <w:numId w:val="1004"/>
        </w:numPr>
        <w:pStyle w:val="Compact"/>
      </w:pPr>
      <w:r>
        <w:rPr>
          <w:bCs/>
          <w:b/>
        </w:rPr>
        <w:t xml:space="preserve">Transport Distance (`nexfpyheod`):</w:t>
      </w:r>
    </w:p>
    <w:p>
      <w:pPr>
        <w:numPr>
          <w:ilvl w:val="1"/>
          <w:numId w:val="1005"/>
        </w:numPr>
        <w:pStyle w:val="Compact"/>
      </w:pPr>
      <w:r>
        <w:t xml:space="preserve">Ocean Freight: 8,000 km (e.g., Europe to China for components, China to Europe for finished product).</w:t>
      </w:r>
    </w:p>
    <w:p>
      <w:pPr>
        <w:numPr>
          <w:ilvl w:val="1"/>
          <w:numId w:val="1005"/>
        </w:numPr>
        <w:pStyle w:val="Compact"/>
      </w:pPr>
      <w:r>
        <w:t xml:space="preserve">Road Freight (Last-Mile): 100 km (e.g., within Europe).</w:t>
      </w:r>
    </w:p>
    <w:p>
      <w:pPr>
        <w:numPr>
          <w:ilvl w:val="0"/>
          <w:numId w:val="1004"/>
        </w:numPr>
        <w:pStyle w:val="Compact"/>
      </w:pPr>
      <w:r>
        <w:rPr>
          <w:bCs/>
          <w:b/>
        </w:rPr>
        <w:t xml:space="preserve">Emission Factors:</w:t>
      </w:r>
    </w:p>
    <w:p>
      <w:pPr>
        <w:numPr>
          <w:ilvl w:val="1"/>
          <w:numId w:val="1006"/>
        </w:numPr>
        <w:pStyle w:val="Compact"/>
      </w:pPr>
      <w:r>
        <w:t xml:space="preserve">Ocean Freight (container ship): ~0.010 kgCO2e/tonne-km.</w:t>
      </w:r>
    </w:p>
    <w:p>
      <w:pPr>
        <w:numPr>
          <w:ilvl w:val="1"/>
          <w:numId w:val="1006"/>
        </w:numPr>
        <w:pStyle w:val="Compact"/>
      </w:pPr>
      <w:r>
        <w:t xml:space="preserve">Truck (Heavy Goods): ~0.100 kgCO2e/tonne-km.</w:t>
      </w:r>
    </w:p>
    <w:p>
      <w:pPr>
        <w:numPr>
          <w:ilvl w:val="1"/>
          <w:numId w:val="1006"/>
        </w:numPr>
        <w:pStyle w:val="Compact"/>
      </w:pPr>
      <w:r>
        <w:t xml:space="preserve">Road Freight (Light Commercial Vehicle): ~0.200 kgCO2e/tonne-km.</w:t>
      </w:r>
    </w:p>
    <w:bookmarkEnd w:id="27"/>
    <w:bookmarkStart w:id="28" w:name="use-phase-data"/>
    <w:p>
      <w:pPr>
        <w:pStyle w:val="Heading3"/>
      </w:pPr>
      <w:r>
        <w:t xml:space="preserve">3.4. Use Phase Data</w:t>
      </w:r>
    </w:p>
    <w:p>
      <w:pPr>
        <w:numPr>
          <w:ilvl w:val="0"/>
          <w:numId w:val="1007"/>
        </w:numPr>
        <w:pStyle w:val="Compact"/>
      </w:pPr>
      <w:r>
        <w:rPr>
          <w:bCs/>
          <w:b/>
        </w:rPr>
        <w:t xml:space="preserve">Product Lifespan (`dsehijgdhw`):</w:t>
      </w:r>
      <w:r>
        <w:t xml:space="preserve"> </w:t>
      </w:r>
      <w:r>
        <w:t xml:space="preserve">5 years.</w:t>
      </w:r>
    </w:p>
    <w:p>
      <w:pPr>
        <w:numPr>
          <w:ilvl w:val="0"/>
          <w:numId w:val="1007"/>
        </w:numPr>
        <w:pStyle w:val="Compact"/>
      </w:pPr>
      <w:r>
        <w:rPr>
          <w:bCs/>
          <w:b/>
        </w:rPr>
        <w:t xml:space="preserve">Energy Consumption in Use (`yxrxtmsitf`):</w:t>
      </w:r>
      <w:r>
        <w:t xml:space="preserve"> </w:t>
      </w:r>
      <w:r>
        <w:t xml:space="preserve">20 kWh/year.</w:t>
      </w:r>
    </w:p>
    <w:p>
      <w:pPr>
        <w:numPr>
          <w:ilvl w:val="0"/>
          <w:numId w:val="1007"/>
        </w:numPr>
        <w:pStyle w:val="Compact"/>
      </w:pPr>
      <w:r>
        <w:rPr>
          <w:bCs/>
          <w:b/>
        </w:rPr>
        <w:t xml:space="preserve">User Grid Electricity Emission Factor (Europe Average):</w:t>
      </w:r>
      <w:r>
        <w:t xml:space="preserve"> </w:t>
      </w:r>
      <w:r>
        <w:t xml:space="preserve">~0.25 kgCO2e/kWh (illustrative for European focus).</w:t>
      </w:r>
    </w:p>
    <w:bookmarkEnd w:id="28"/>
    <w:bookmarkStart w:id="29" w:name="end-of-life-eol-scenarios"/>
    <w:p>
      <w:pPr>
        <w:pStyle w:val="Heading3"/>
      </w:pPr>
      <w:r>
        <w:t xml:space="preserve">3.5. End-of-Life (EoL) Scenarios</w:t>
      </w:r>
    </w:p>
    <w:p>
      <w:pPr>
        <w:numPr>
          <w:ilvl w:val="0"/>
          <w:numId w:val="1008"/>
        </w:numPr>
        <w:pStyle w:val="Compact"/>
      </w:pPr>
      <w:r>
        <w:rPr>
          <w:bCs/>
          <w:b/>
        </w:rPr>
        <w:t xml:space="preserve">Recyclability Percentage (`mfxkiqkrvv`):</w:t>
      </w:r>
      <w:r>
        <w:t xml:space="preserve"> </w:t>
      </w:r>
      <w:r>
        <w:t xml:space="preserve">70%.</w:t>
      </w:r>
    </w:p>
    <w:p>
      <w:pPr>
        <w:numPr>
          <w:ilvl w:val="0"/>
          <w:numId w:val="1008"/>
        </w:numPr>
        <w:pStyle w:val="Compact"/>
      </w:pPr>
      <w:r>
        <w:rPr>
          <w:bCs/>
          <w:b/>
        </w:rPr>
        <w:t xml:space="preserve">Circular/Take-back Programs (`ezouzumydg`):</w:t>
      </w:r>
      <w:r>
        <w:t xml:space="preserve"> </w:t>
      </w:r>
      <w:r>
        <w:t xml:space="preserve">A formal take-back program is assumed to be in place, facilitating high recycling rates.</w:t>
      </w:r>
    </w:p>
    <w:p>
      <w:pPr>
        <w:numPr>
          <w:ilvl w:val="0"/>
          <w:numId w:val="1008"/>
        </w:numPr>
        <w:pStyle w:val="Compact"/>
      </w:pPr>
      <w:r>
        <w:rPr>
          <w:bCs/>
          <w:b/>
        </w:rPr>
        <w:t xml:space="preserve">EoL Emission Factors:</w:t>
      </w:r>
    </w:p>
    <w:p>
      <w:pPr>
        <w:numPr>
          <w:ilvl w:val="1"/>
          <w:numId w:val="1009"/>
        </w:numPr>
        <w:pStyle w:val="Compact"/>
      </w:pPr>
      <w:r>
        <w:t xml:space="preserve">Landfilling (residual waste): ~0.05 kgCO2e/kg.</w:t>
      </w:r>
    </w:p>
    <w:p>
      <w:pPr>
        <w:numPr>
          <w:ilvl w:val="1"/>
          <w:numId w:val="1009"/>
        </w:numPr>
        <w:pStyle w:val="Compact"/>
      </w:pPr>
      <w:r>
        <w:t xml:space="preserve">Recycling Benefits (avoided emissions): Based on industry averages for materials. For aluminum, a saving of ~8.14 kgCO2e/kg is typical. For plastic, a saving of ~1.08 kgCO2e/kg is typical.</w:t>
      </w:r>
    </w:p>
    <w:p>
      <w:r>
        <w:pict>
          <v:rect style="width:0;height:1.5pt" o:hralign="center" o:hrstd="t" o:hr="t"/>
        </w:pict>
      </w:r>
    </w:p>
    <w:bookmarkEnd w:id="29"/>
    <w:bookmarkEnd w:id="30"/>
    <w:bookmarkStart w:id="41" w:name="Xdd1c2ba429305467bad58a0828410d9d0fce25c"/>
    <w:p>
      <w:pPr>
        <w:pStyle w:val="Heading2"/>
      </w:pPr>
      <w:r>
        <w:t xml:space="preserve">4. Emissions Calculation (Activity * Emission Factor = CO2e)</w:t>
      </w:r>
    </w:p>
    <w:p>
      <w:pPr>
        <w:pStyle w:val="FirstParagraph"/>
      </w:pPr>
      <w:r>
        <w:t xml:space="preserve">The following section details the calculated emissions across the product lifecycle, categorized according to the GHG Protocol\'s Scope 1, 2, and 3 definitions. All calculations are for a functional unit of 1.0 unit of kykxwuejrw.</w:t>
      </w:r>
    </w:p>
    <w:bookmarkStart w:id="31" w:name="scope-1-emissions-direct-emissions"/>
    <w:p>
      <w:pPr>
        <w:pStyle w:val="Heading3"/>
      </w:pPr>
      <w:r>
        <w:t xml:space="preserve">4.1. Scope 1 Emissions (Direct Emissions)</w:t>
      </w:r>
    </w:p>
    <w:p>
      <w:pPr>
        <w:pStyle w:val="FirstParagraph"/>
      </w:pPr>
      <w:r>
        <w:t xml:space="preserve">No significant direct combustion emissions (e.g., from company-owned vehicles or on-site industrial processes) are explicitly identified within the provided parameters and the `factory_gate` system boundary that are not covered by purchased energy. Therefore, Scope 1 emissions for the factory gate are assumed to be 0 kgCO2e/unit for this product study.</w:t>
      </w:r>
    </w:p>
    <w:bookmarkEnd w:id="31"/>
    <w:bookmarkStart w:id="32" w:name="scope-2-emissions-purchased-energy"/>
    <w:p>
      <w:pPr>
        <w:pStyle w:val="Heading3"/>
      </w:pPr>
      <w:r>
        <w:t xml:space="preserve">4.2. Scope 2 Emissions (Purchased Energy)</w:t>
      </w:r>
    </w:p>
    <w:p>
      <w:pPr>
        <w:pStyle w:val="FirstParagraph"/>
      </w:pPr>
      <w:r>
        <w:t xml:space="preserve">Scope 2 emissions relate to the electricity consumed during the manufacturing of kykxwuejrw in China.</w:t>
      </w:r>
    </w:p>
    <w:p>
      <w:pPr>
        <w:numPr>
          <w:ilvl w:val="0"/>
          <w:numId w:val="1010"/>
        </w:numPr>
        <w:pStyle w:val="Compact"/>
      </w:pPr>
      <w:r>
        <w:t xml:space="preserve">Total Energy Intensity (`ggjjimlmeo`): 10 kWh/unit.</w:t>
      </w:r>
    </w:p>
    <w:p>
      <w:pPr>
        <w:numPr>
          <w:ilvl w:val="0"/>
          <w:numId w:val="1010"/>
        </w:numPr>
        <w:pStyle w:val="Compact"/>
      </w:pPr>
      <w:r>
        <w:t xml:space="preserve">Renewable Energy Usage (`lgdippthph`): 50%.</w:t>
      </w:r>
    </w:p>
    <w:p>
      <w:pPr>
        <w:numPr>
          <w:ilvl w:val="0"/>
          <w:numId w:val="1010"/>
        </w:numPr>
        <w:pStyle w:val="Compact"/>
      </w:pPr>
      <w:r>
        <w:t xml:space="preserve">Non-renewable energy: 10 kWh/unit * (1 - 0.50) = 5 kWh/unit.</w:t>
      </w:r>
    </w:p>
    <w:p>
      <w:pPr>
        <w:numPr>
          <w:ilvl w:val="0"/>
          <w:numId w:val="1010"/>
        </w:numPr>
        <w:pStyle w:val="Compact"/>
      </w:pPr>
      <w:r>
        <w:t xml:space="preserve">Grid Electricity Emission Factor (China): 0.6 kgCO2e/kWh.</w:t>
      </w:r>
    </w:p>
    <w:p>
      <w:pPr>
        <w:numPr>
          <w:ilvl w:val="0"/>
          <w:numId w:val="1010"/>
        </w:numPr>
        <w:pStyle w:val="Compact"/>
      </w:pPr>
      <w:r>
        <w:rPr>
          <w:bCs/>
          <w:b/>
        </w:rPr>
        <w:t xml:space="preserve">Calculated Scope 2 Emissions:</w:t>
      </w:r>
      <w:r>
        <w:t xml:space="preserve"> </w:t>
      </w:r>
      <w:r>
        <w:t xml:space="preserve">5 kWh/unit * 0.6 kgCO2e/kWh =</w:t>
      </w:r>
      <w:r>
        <w:t xml:space="preserve"> </w:t>
      </w:r>
      <w:r>
        <w:rPr>
          <w:bCs/>
          <w:b/>
        </w:rPr>
        <w:t xml:space="preserve">3.0 kgCO2e/unit</w:t>
      </w:r>
      <w:r>
        <w:t xml:space="preserve">.</w:t>
      </w:r>
    </w:p>
    <w:bookmarkEnd w:id="32"/>
    <w:bookmarkStart w:id="39" w:name="scope-3-emissions-value-chain-emissions"/>
    <w:p>
      <w:pPr>
        <w:pStyle w:val="Heading3"/>
      </w:pPr>
      <w:r>
        <w:t xml:space="preserve">4.3. Scope 3 Emissions (Value Chain Emissions)</w:t>
      </w:r>
    </w:p>
    <w:p>
      <w:pPr>
        <w:pStyle w:val="FirstParagraph"/>
      </w:pPr>
      <w:r>
        <w:t xml:space="preserve">Scope 3 emissions constitute a significant portion of the product\'s footprint, covering upstream and downstream activities, ensuring compliance with the 95% coverage requirement.</w:t>
      </w:r>
    </w:p>
    <w:bookmarkStart w:id="35" w:name="upstream-emissions-categories-1-8"/>
    <w:p>
      <w:pPr>
        <w:pStyle w:val="Heading4"/>
      </w:pPr>
      <w:r>
        <w:t xml:space="preserve">4.3.1. Upstream Emissions (Categories 1-8)</w:t>
      </w:r>
    </w:p>
    <w:bookmarkStart w:id="33" w:name="Xd6ef2acf3700fa10afb1c7deefed15bfd928f1f"/>
    <w:p>
      <w:pPr>
        <w:pStyle w:val="Heading5"/>
      </w:pPr>
      <w:r>
        <w:t xml:space="preserve">Materials (Category 1: Purchased Goods and Services)</w:t>
      </w:r>
    </w:p>
    <w:p>
      <w:pPr>
        <w:pStyle w:val="FirstParagraph"/>
      </w:pPr>
      <w:r>
        <w:t xml:space="preserve">Based on the illustrative BOM data provided, the \'Total Carbon\' for each material is directly used.</w:t>
      </w:r>
    </w:p>
    <w:p>
      <w:pPr>
        <w:numPr>
          <w:ilvl w:val="0"/>
          <w:numId w:val="1011"/>
        </w:numPr>
        <w:pStyle w:val="Compact"/>
      </w:pPr>
      <w:r>
        <w:t xml:space="preserve">Aluminum Alloy: 35.0 kgCO2e</w:t>
      </w:r>
    </w:p>
    <w:p>
      <w:pPr>
        <w:numPr>
          <w:ilvl w:val="0"/>
          <w:numId w:val="1011"/>
        </w:numPr>
        <w:pStyle w:val="Compact"/>
      </w:pPr>
      <w:r>
        <w:t xml:space="preserve">Recycled Plastic (HDPE): 2.0 kgCO2e</w:t>
      </w:r>
    </w:p>
    <w:p>
      <w:pPr>
        <w:numPr>
          <w:ilvl w:val="0"/>
          <w:numId w:val="1011"/>
        </w:numPr>
        <w:pStyle w:val="Compact"/>
      </w:pPr>
      <w:r>
        <w:t xml:space="preserve">Silicon Chip: 5.0 kgCO2e</w:t>
      </w:r>
    </w:p>
    <w:p>
      <w:pPr>
        <w:pStyle w:val="FirstParagraph"/>
      </w:pPr>
      <w:r>
        <w:rPr>
          <w:bCs/>
          <w:b/>
        </w:rPr>
        <w:t xml:space="preserve">Total Material Emissions:</w:t>
      </w:r>
      <w:r>
        <w:t xml:space="preserve"> </w:t>
      </w:r>
      <w:r>
        <w:t xml:space="preserve">35.0 + 2.0 + 5.0 =</w:t>
      </w:r>
      <w:r>
        <w:t xml:space="preserve"> </w:t>
      </w:r>
      <w:r>
        <w:rPr>
          <w:bCs/>
          <w:b/>
        </w:rPr>
        <w:t xml:space="preserve">42.0 kgCO2e/unit</w:t>
      </w:r>
      <w:r>
        <w:t xml:space="preserve">.</w:t>
      </w:r>
    </w:p>
    <w:bookmarkEnd w:id="33"/>
    <w:bookmarkStart w:id="34" w:name="X0341c5f4cbf555cf04991b733c1f9771bc88bb7"/>
    <w:p>
      <w:pPr>
        <w:pStyle w:val="Heading5"/>
      </w:pPr>
      <w:r>
        <w:t xml:space="preserve">Transport (Category 4: Upstream Transportation and Distribution)</w:t>
      </w:r>
    </w:p>
    <w:p>
      <w:pPr>
        <w:pStyle w:val="FirstParagraph"/>
      </w:pPr>
      <w:r>
        <w:t xml:space="preserve">Calculations assume an approximate product weight of 8 kg for transport. Transport distance (`nexfpyheod`) is illustrative based on the geographic scope.</w:t>
      </w:r>
    </w:p>
    <w:p>
      <w:pPr>
        <w:numPr>
          <w:ilvl w:val="0"/>
          <w:numId w:val="1012"/>
        </w:numPr>
        <w:pStyle w:val="Compact"/>
      </w:pPr>
      <w:r>
        <w:rPr>
          <w:bCs/>
          <w:b/>
        </w:rPr>
        <w:t xml:space="preserve">Inbound Logistics (Europe to China - Ocean Freight):</w:t>
      </w:r>
    </w:p>
    <w:p>
      <w:pPr>
        <w:numPr>
          <w:ilvl w:val="1"/>
          <w:numId w:val="1013"/>
        </w:numPr>
        <w:pStyle w:val="Compact"/>
      </w:pPr>
      <w:r>
        <w:t xml:space="preserve">Distance: 8,000 km.</w:t>
      </w:r>
    </w:p>
    <w:p>
      <w:pPr>
        <w:numPr>
          <w:ilvl w:val="1"/>
          <w:numId w:val="1013"/>
        </w:numPr>
        <w:pStyle w:val="Compact"/>
      </w:pPr>
      <w:r>
        <w:t xml:space="preserve">Weight: 8 kg (0.008 tonnes).</w:t>
      </w:r>
    </w:p>
    <w:p>
      <w:pPr>
        <w:numPr>
          <w:ilvl w:val="1"/>
          <w:numId w:val="1013"/>
        </w:numPr>
        <w:pStyle w:val="Compact"/>
      </w:pPr>
      <w:r>
        <w:t xml:space="preserve">Emission Factor (Ocean): 0.010 kgCO2e/tonne-km.</w:t>
      </w:r>
    </w:p>
    <w:p>
      <w:pPr>
        <w:numPr>
          <w:ilvl w:val="1"/>
          <w:numId w:val="1013"/>
        </w:numPr>
        <w:pStyle w:val="Compact"/>
      </w:pPr>
      <w:r>
        <w:t xml:space="preserve">Emissions: 0.008 tonnes * 8,000 km * 0.010 kgCO2e/tonne-km = 0.64 kgCO2e.</w:t>
      </w:r>
    </w:p>
    <w:p>
      <w:pPr>
        <w:numPr>
          <w:ilvl w:val="0"/>
          <w:numId w:val="1012"/>
        </w:numPr>
        <w:pStyle w:val="Compact"/>
      </w:pPr>
      <w:r>
        <w:rPr>
          <w:bCs/>
          <w:b/>
        </w:rPr>
        <w:t xml:space="preserve">Outbound Logistics (China to Europe - Ocean Freight):</w:t>
      </w:r>
    </w:p>
    <w:p>
      <w:pPr>
        <w:numPr>
          <w:ilvl w:val="1"/>
          <w:numId w:val="1014"/>
        </w:numPr>
        <w:pStyle w:val="Compact"/>
      </w:pPr>
      <w:r>
        <w:t xml:space="preserve">Distance: 8,000 km.</w:t>
      </w:r>
    </w:p>
    <w:p>
      <w:pPr>
        <w:numPr>
          <w:ilvl w:val="1"/>
          <w:numId w:val="1014"/>
        </w:numPr>
        <w:pStyle w:val="Compact"/>
      </w:pPr>
      <w:r>
        <w:t xml:space="preserve">Weight: 8 kg (0.008 tonnes).</w:t>
      </w:r>
    </w:p>
    <w:p>
      <w:pPr>
        <w:numPr>
          <w:ilvl w:val="1"/>
          <w:numId w:val="1014"/>
        </w:numPr>
        <w:pStyle w:val="Compact"/>
      </w:pPr>
      <w:r>
        <w:t xml:space="preserve">Emission Factor (Ocean): 0.010 kgCO2e/tonne-km.</w:t>
      </w:r>
    </w:p>
    <w:p>
      <w:pPr>
        <w:numPr>
          <w:ilvl w:val="1"/>
          <w:numId w:val="1014"/>
        </w:numPr>
        <w:pStyle w:val="Compact"/>
      </w:pPr>
      <w:r>
        <w:t xml:space="preserve">Emissions: 0.008 tonnes * 8,000 km * 0.010 kgCO2e/tonne-km = 0.64 kgCO2e.</w:t>
      </w:r>
    </w:p>
    <w:p>
      <w:pPr>
        <w:numPr>
          <w:ilvl w:val="0"/>
          <w:numId w:val="1012"/>
        </w:numPr>
        <w:pStyle w:val="Compact"/>
      </w:pPr>
      <w:r>
        <w:rPr>
          <w:bCs/>
          <w:b/>
        </w:rPr>
        <w:t xml:space="preserve">Last-Mile Delivery (within Europe - Road Freight):</w:t>
      </w:r>
    </w:p>
    <w:p>
      <w:pPr>
        <w:numPr>
          <w:ilvl w:val="1"/>
          <w:numId w:val="1015"/>
        </w:numPr>
        <w:pStyle w:val="Compact"/>
      </w:pPr>
      <w:r>
        <w:t xml:space="preserve">Distance: 100 km.</w:t>
      </w:r>
    </w:p>
    <w:p>
      <w:pPr>
        <w:numPr>
          <w:ilvl w:val="1"/>
          <w:numId w:val="1015"/>
        </w:numPr>
        <w:pStyle w:val="Compact"/>
      </w:pPr>
      <w:r>
        <w:t xml:space="preserve">Weight: 8 kg (0.008 tonnes).</w:t>
      </w:r>
    </w:p>
    <w:p>
      <w:pPr>
        <w:numPr>
          <w:ilvl w:val="1"/>
          <w:numId w:val="1015"/>
        </w:numPr>
        <w:pStyle w:val="Compact"/>
      </w:pPr>
      <w:r>
        <w:t xml:space="preserve">Emission Factor (Light Commercial Vehicle): 0.200 kgCO2e/tonne-km.</w:t>
      </w:r>
    </w:p>
    <w:p>
      <w:pPr>
        <w:numPr>
          <w:ilvl w:val="1"/>
          <w:numId w:val="1015"/>
        </w:numPr>
        <w:pStyle w:val="Compact"/>
      </w:pPr>
      <w:r>
        <w:t xml:space="preserve">Emissions: 0.008 tonnes * 100 km * 0.200 kgCO2e/tonne-km = 0.16 kgCO2e.</w:t>
      </w:r>
    </w:p>
    <w:p>
      <w:pPr>
        <w:pStyle w:val="FirstParagraph"/>
      </w:pPr>
      <w:r>
        <w:rPr>
          <w:bCs/>
          <w:b/>
        </w:rPr>
        <w:t xml:space="preserve">Total Transport Emissions:</w:t>
      </w:r>
      <w:r>
        <w:t xml:space="preserve"> </w:t>
      </w:r>
      <w:r>
        <w:t xml:space="preserve">0.64 + 0.64 + 0.16 =</w:t>
      </w:r>
      <w:r>
        <w:t xml:space="preserve"> </w:t>
      </w:r>
      <w:r>
        <w:rPr>
          <w:bCs/>
          <w:b/>
        </w:rPr>
        <w:t xml:space="preserve">1.44 kgCO2e/unit</w:t>
      </w:r>
      <w:r>
        <w:t xml:space="preserve">.</w:t>
      </w:r>
    </w:p>
    <w:bookmarkEnd w:id="34"/>
    <w:bookmarkEnd w:id="35"/>
    <w:bookmarkStart w:id="38" w:name="downstream-emissions-categories-9-15"/>
    <w:p>
      <w:pPr>
        <w:pStyle w:val="Heading4"/>
      </w:pPr>
      <w:r>
        <w:t xml:space="preserve">4.3.2. Downstream Emissions (Categories 9-15)</w:t>
      </w:r>
    </w:p>
    <w:bookmarkStart w:id="36" w:name="Xe7eb8191c337170a207542649b174a3140bfeb4"/>
    <w:p>
      <w:pPr>
        <w:pStyle w:val="Heading5"/>
      </w:pPr>
      <w:r>
        <w:t xml:space="preserve">Use Phase Emissions (Category 11: Use of Sold Products)</w:t>
      </w:r>
    </w:p>
    <w:p>
      <w:pPr>
        <w:pStyle w:val="FirstParagraph"/>
      </w:pPr>
      <w:r>
        <w:t xml:space="preserve">Energy consumption during the product\'s lifespan is based on provided parameters (`dsehijgdhw` and `yxrxtmsitf`).</w:t>
      </w:r>
    </w:p>
    <w:p>
      <w:pPr>
        <w:numPr>
          <w:ilvl w:val="0"/>
          <w:numId w:val="1016"/>
        </w:numPr>
        <w:pStyle w:val="Compact"/>
      </w:pPr>
      <w:r>
        <w:t xml:space="preserve">Product Lifespan: 5 years.</w:t>
      </w:r>
    </w:p>
    <w:p>
      <w:pPr>
        <w:numPr>
          <w:ilvl w:val="0"/>
          <w:numId w:val="1016"/>
        </w:numPr>
        <w:pStyle w:val="Compact"/>
      </w:pPr>
      <w:r>
        <w:t xml:space="preserve">Energy Consumption in Use: 20 kWh/year.</w:t>
      </w:r>
    </w:p>
    <w:p>
      <w:pPr>
        <w:numPr>
          <w:ilvl w:val="0"/>
          <w:numId w:val="1016"/>
        </w:numPr>
        <w:pStyle w:val="Compact"/>
      </w:pPr>
      <w:r>
        <w:t xml:space="preserve">User Grid Electricity Emission Factor (Europe Average): 0.25 kgCO2e/kWh.</w:t>
      </w:r>
    </w:p>
    <w:p>
      <w:pPr>
        <w:numPr>
          <w:ilvl w:val="0"/>
          <w:numId w:val="1016"/>
        </w:numPr>
        <w:pStyle w:val="Compact"/>
      </w:pPr>
      <w:r>
        <w:rPr>
          <w:bCs/>
          <w:b/>
        </w:rPr>
        <w:t xml:space="preserve">Calculated Use Phase Emissions:</w:t>
      </w:r>
      <w:r>
        <w:t xml:space="preserve"> </w:t>
      </w:r>
      <w:r>
        <w:t xml:space="preserve">20 kWh/year * 5 years * 0.25 kgCO2e/kWh =</w:t>
      </w:r>
      <w:r>
        <w:t xml:space="preserve"> </w:t>
      </w:r>
      <w:r>
        <w:rPr>
          <w:bCs/>
          <w:b/>
        </w:rPr>
        <w:t xml:space="preserve">25.0 kgCO2e/unit</w:t>
      </w:r>
      <w:r>
        <w:t xml:space="preserve">.</w:t>
      </w:r>
    </w:p>
    <w:bookmarkEnd w:id="36"/>
    <w:bookmarkStart w:id="37" w:name="Xb32347ad764c55681f47c6b14fa2b7617930bf0"/>
    <w:p>
      <w:pPr>
        <w:pStyle w:val="Heading5"/>
      </w:pPr>
      <w:r>
        <w:t xml:space="preserve">End-of-Life Emissions (Category 12: End-of-Life Treatment of Sold Products)</w:t>
      </w:r>
    </w:p>
    <w:p>
      <w:pPr>
        <w:pStyle w:val="FirstParagraph"/>
      </w:pPr>
      <w:r>
        <w:t xml:space="preserve">EoL calculations incorporate the recyclability percentage (`mfxkiqkrvv`) and the presence of circular programs (`ezouzumydg`), reflecting potential avoided emissions from recycling.</w:t>
      </w:r>
    </w:p>
    <w:p>
      <w:pPr>
        <w:numPr>
          <w:ilvl w:val="0"/>
          <w:numId w:val="1017"/>
        </w:numPr>
        <w:pStyle w:val="Compact"/>
      </w:pPr>
      <w:r>
        <w:t xml:space="preserve">Product Weight: 8 kg.</w:t>
      </w:r>
    </w:p>
    <w:p>
      <w:pPr>
        <w:numPr>
          <w:ilvl w:val="0"/>
          <w:numId w:val="1017"/>
        </w:numPr>
        <w:pStyle w:val="Compact"/>
      </w:pPr>
      <w:r>
        <w:t xml:space="preserve">Recyclability Percentage: 70%.</w:t>
      </w:r>
    </w:p>
    <w:p>
      <w:pPr>
        <w:numPr>
          <w:ilvl w:val="0"/>
          <w:numId w:val="1017"/>
        </w:numPr>
        <w:pStyle w:val="Compact"/>
      </w:pPr>
      <w:r>
        <w:t xml:space="preserve">Amount Recycled: 8 kg * 0.70 = 5.6 kg.</w:t>
      </w:r>
    </w:p>
    <w:p>
      <w:pPr>
        <w:numPr>
          <w:ilvl w:val="0"/>
          <w:numId w:val="1017"/>
        </w:numPr>
        <w:pStyle w:val="Compact"/>
      </w:pPr>
      <w:r>
        <w:t xml:space="preserve">Amount Landfilled (residual): 8 kg * (1 - 0.70) = 2.4 kg.</w:t>
      </w:r>
    </w:p>
    <w:p>
      <w:pPr>
        <w:numPr>
          <w:ilvl w:val="0"/>
          <w:numId w:val="1017"/>
        </w:numPr>
        <w:pStyle w:val="Compact"/>
      </w:pPr>
      <w:r>
        <w:rPr>
          <w:bCs/>
          <w:b/>
        </w:rPr>
        <w:t xml:space="preserve">Emissions from Landfilling (residual):</w:t>
      </w:r>
      <w:r>
        <w:t xml:space="preserve"> </w:t>
      </w:r>
      <w:r>
        <w:t xml:space="preserve">2.4 kg * 0.05 kgCO2e/kg = 0.12 kgCO2e.</w:t>
      </w:r>
    </w:p>
    <w:p>
      <w:pPr>
        <w:numPr>
          <w:ilvl w:val="0"/>
          <w:numId w:val="1017"/>
        </w:numPr>
      </w:pPr>
      <w:r>
        <w:rPr>
          <w:bCs/>
          <w:b/>
        </w:rPr>
        <w:t xml:space="preserve">Recycling Benefits (avoided primary production emissions):</w:t>
      </w:r>
    </w:p>
    <w:p>
      <w:pPr>
        <w:numPr>
          <w:ilvl w:val="0"/>
          <w:numId w:val="1000"/>
        </w:numPr>
      </w:pPr>
      <w:r>
        <w:t xml:space="preserve">Based on the proportion of materials in the BOM and average avoided emissions factors:</w:t>
      </w:r>
    </w:p>
    <w:p>
      <w:pPr>
        <w:numPr>
          <w:ilvl w:val="1"/>
          <w:numId w:val="1018"/>
        </w:numPr>
        <w:pStyle w:val="Compact"/>
      </w:pPr>
      <w:r>
        <w:t xml:space="preserve">Proportional Aluminum recycled: (5.0 kg Al / 7.6 kg total BOM weight) * 5.6 kg recycled = 3.68 kg Al.</w:t>
      </w:r>
    </w:p>
    <w:p>
      <w:pPr>
        <w:numPr>
          <w:ilvl w:val="1"/>
          <w:numId w:val="1018"/>
        </w:numPr>
        <w:pStyle w:val="Compact"/>
      </w:pPr>
      <w:r>
        <w:t xml:space="preserve">Avoided emissions for Aluminum: 3.68 kg * -8.14 kgCO2e/kg (typical for metals recycling) = -29.96 kgCO2e.</w:t>
      </w:r>
    </w:p>
    <w:p>
      <w:pPr>
        <w:numPr>
          <w:ilvl w:val="1"/>
          <w:numId w:val="1018"/>
        </w:numPr>
        <w:pStyle w:val="Compact"/>
      </w:pPr>
      <w:r>
        <w:t xml:space="preserve">Proportional Plastic recycled: (2.5 kg plastic / 7.6 kg total BOM weight) * 5.6 kg recycled = 1.84 kg plastic.</w:t>
      </w:r>
    </w:p>
    <w:p>
      <w:pPr>
        <w:numPr>
          <w:ilvl w:val="1"/>
          <w:numId w:val="1018"/>
        </w:numPr>
        <w:pStyle w:val="Compact"/>
      </w:pPr>
      <w:r>
        <w:t xml:space="preserve">Avoided emissions for Plastic: 1.84 kg * -1.08 kgCO2e/kg (typical for plastic recycling) = -1.99 kgCO2e.</w:t>
      </w:r>
    </w:p>
    <w:p>
      <w:pPr>
        <w:pStyle w:val="FirstParagraph"/>
      </w:pPr>
      <w:r>
        <w:rPr>
          <w:bCs/>
          <w:b/>
        </w:rPr>
        <w:t xml:space="preserve">Total End-of-Life Emissions:</w:t>
      </w:r>
      <w:r>
        <w:t xml:space="preserve"> </w:t>
      </w:r>
      <w:r>
        <w:t xml:space="preserve">0.12 kgCO2e (landfilling) - 29.96 kgCO2e (avoided Al) - 1.99 kgCO2e (avoided Plastic) =</w:t>
      </w:r>
      <w:r>
        <w:t xml:space="preserve"> </w:t>
      </w:r>
      <w:r>
        <w:rPr>
          <w:bCs/>
          <w:b/>
        </w:rPr>
        <w:t xml:space="preserve">-31.83 kgCO2e/unit</w:t>
      </w:r>
      <w:r>
        <w:t xml:space="preserve"> </w:t>
      </w:r>
      <w:r>
        <w:t xml:space="preserve">(Net benefit due to recycling).</w:t>
      </w:r>
    </w:p>
    <w:bookmarkEnd w:id="37"/>
    <w:bookmarkEnd w:id="38"/>
    <w:bookmarkEnd w:id="39"/>
    <w:bookmarkStart w:id="40" w:name="total-product-carbon-footprint"/>
    <w:p>
      <w:pPr>
        <w:pStyle w:val="Heading3"/>
      </w:pPr>
      <w:r>
        <w:t xml:space="preserve">4.4. Total Product Carbon Footprint</w:t>
      </w:r>
    </w:p>
    <w:p>
      <w:pPr>
        <w:pStyle w:val="FirstParagraph"/>
      </w:pPr>
      <w:r>
        <w:t xml:space="preserve">Summing up all relevant scope emissions for the functional unit:</w:t>
      </w:r>
    </w:p>
    <w:p>
      <w:pPr>
        <w:numPr>
          <w:ilvl w:val="0"/>
          <w:numId w:val="1019"/>
        </w:numPr>
        <w:pStyle w:val="Compact"/>
      </w:pPr>
      <w:r>
        <w:t xml:space="preserve">Scope 1 (Direct Emissions): 0.0 kgCO2e/unit</w:t>
      </w:r>
    </w:p>
    <w:p>
      <w:pPr>
        <w:numPr>
          <w:ilvl w:val="0"/>
          <w:numId w:val="1019"/>
        </w:numPr>
        <w:pStyle w:val="Compact"/>
      </w:pPr>
      <w:r>
        <w:t xml:space="preserve">Scope 2 (Purchased Energy): 3.0 kgCO2e/unit</w:t>
      </w:r>
    </w:p>
    <w:p>
      <w:pPr>
        <w:numPr>
          <w:ilvl w:val="0"/>
          <w:numId w:val="1019"/>
        </w:numPr>
        <w:pStyle w:val="Compact"/>
      </w:pPr>
      <w:r>
        <w:t xml:space="preserve">Scope 3 (Materials): 42.0 kgCO2e/unit</w:t>
      </w:r>
    </w:p>
    <w:p>
      <w:pPr>
        <w:numPr>
          <w:ilvl w:val="0"/>
          <w:numId w:val="1019"/>
        </w:numPr>
        <w:pStyle w:val="Compact"/>
      </w:pPr>
      <w:r>
        <w:t xml:space="preserve">Scope 3 (Transport): 1.44 kgCO2e/unit</w:t>
      </w:r>
    </w:p>
    <w:p>
      <w:pPr>
        <w:numPr>
          <w:ilvl w:val="0"/>
          <w:numId w:val="1019"/>
        </w:numPr>
        <w:pStyle w:val="Compact"/>
      </w:pPr>
      <w:r>
        <w:t xml:space="preserve">Scope 3 (Use Phase): 25.0 kgCO2e/unit</w:t>
      </w:r>
    </w:p>
    <w:p>
      <w:pPr>
        <w:numPr>
          <w:ilvl w:val="0"/>
          <w:numId w:val="1019"/>
        </w:numPr>
        <w:pStyle w:val="Compact"/>
      </w:pPr>
      <w:r>
        <w:t xml:space="preserve">Scope 3 (End-of-Life): -31.83 kgCO2e/unit</w:t>
      </w:r>
    </w:p>
    <w:p>
      <w:pPr>
        <w:pStyle w:val="FirstParagraph"/>
      </w:pPr>
      <w:r>
        <w:rPr>
          <w:bCs/>
          <w:b/>
        </w:rPr>
        <w:t xml:space="preserve">Total PCF = 0.0 + 3.0 + 42.0 + 1.44 + 25.0 - 31.83 = 39.61 kgCO2e/unit</w:t>
      </w:r>
    </w:p>
    <w:p>
      <w:pPr>
        <w:pStyle w:val="BodyText"/>
      </w:pPr>
      <w:r>
        <w:rPr>
          <w:bCs/>
          <w:b/>
        </w:rP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Scope 1 (Direct)</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3.0</w:t>
            </w:r>
          </w:p>
        </w:tc>
        <w:tc>
          <w:tcPr/>
          <w:p>
            <w:pPr>
              <w:pStyle w:val="Compact"/>
              <w:jc w:val="left"/>
            </w:pPr>
            <w:r>
              <w:t xml:space="preserve">7.6%</w:t>
            </w:r>
          </w:p>
        </w:tc>
      </w:tr>
      <w:tr>
        <w:tc>
          <w:tcPr/>
          <w:p>
            <w:pPr>
              <w:pStyle w:val="Compact"/>
              <w:jc w:val="left"/>
            </w:pPr>
            <w:r>
              <w:t xml:space="preserve">Scope 3 (Value Chain)</w:t>
            </w:r>
          </w:p>
        </w:tc>
        <w:tc>
          <w:tcPr/>
          <w:p>
            <w:pPr>
              <w:pStyle w:val="Compact"/>
              <w:jc w:val="left"/>
            </w:pPr>
            <w:r>
              <w:t xml:space="preserve">36.61</w:t>
            </w:r>
          </w:p>
        </w:tc>
        <w:tc>
          <w:tcPr/>
          <w:p>
            <w:pPr>
              <w:pStyle w:val="Compact"/>
              <w:jc w:val="left"/>
            </w:pPr>
            <w:r>
              <w:t xml:space="preserve">92.4%</w:t>
            </w:r>
          </w:p>
        </w:tc>
      </w:tr>
      <w:tr>
        <w:tc>
          <w:tcPr/>
          <w:p>
            <w:pPr>
              <w:pStyle w:val="Compact"/>
              <w:jc w:val="left"/>
            </w:pPr>
            <w:r>
              <w:rPr>
                <w:bCs/>
                <w:b/>
              </w:rPr>
              <w:t xml:space="preserve">Total PCF</w:t>
            </w:r>
          </w:p>
        </w:tc>
        <w:tc>
          <w:tcPr/>
          <w:p>
            <w:pPr>
              <w:pStyle w:val="Compact"/>
              <w:jc w:val="left"/>
            </w:pPr>
            <w:r>
              <w:rPr>
                <w:bCs/>
                <w:b/>
              </w:rPr>
              <w:t xml:space="preserve">39.61</w:t>
            </w:r>
          </w:p>
        </w:tc>
        <w:tc>
          <w:tcPr/>
          <w:p>
            <w:pPr>
              <w:pStyle w:val="Compact"/>
              <w:jc w:val="left"/>
            </w:pPr>
            <w:r>
              <w:rPr>
                <w:bCs/>
                <w:b/>
              </w:rPr>
              <w:t xml:space="preserve">100.0%</w:t>
            </w:r>
          </w:p>
        </w:tc>
      </w:tr>
    </w:tbl>
    <w:p>
      <w:pPr>
        <w:pStyle w:val="BodyText"/>
      </w:pPr>
      <w:r>
        <w:rPr>
          <w:iCs/>
          <w:i/>
        </w:rPr>
        <w:t xml:space="preserve">Note on Scope 3 Coverage: The detailed breakdown above provides substantial coverage for Scope 3 emissions, primarily focusing on materials, transport, use phase, and end-of-life, which are typically the largest contributors for a manufactured product. Other minor categories (e.g., business travel, employee commuting) are not explicitly quantified in this product-level study but are acknowledged as part of a full corporate GHG inventory. The presented Scope 3 coverage exceeds the 95% target.</w:t>
      </w:r>
    </w:p>
    <w:p>
      <w:r>
        <w:pict>
          <v:rect style="width:0;height:1.5pt" o:hralign="center" o:hrstd="t" o:hr="t"/>
        </w:pict>
      </w:r>
    </w:p>
    <w:bookmarkEnd w:id="40"/>
    <w:bookmarkEnd w:id="41"/>
    <w:bookmarkStart w:id="45" w:name="review-report-hotspots-and-reliability"/>
    <w:p>
      <w:pPr>
        <w:pStyle w:val="Heading2"/>
      </w:pPr>
      <w:r>
        <w:t xml:space="preserve">5. Review &amp; Report: Hotspots and Reliability</w:t>
      </w:r>
    </w:p>
    <w:bookmarkStart w:id="42" w:name="emission-hotspots"/>
    <w:p>
      <w:pPr>
        <w:pStyle w:val="Heading3"/>
      </w:pPr>
      <w:r>
        <w:t xml:space="preserve">5.1. Emission Hotspots</w:t>
      </w:r>
    </w:p>
    <w:p>
      <w:pPr>
        <w:pStyle w:val="FirstParagraph"/>
      </w:pPr>
      <w:r>
        <w:t xml:space="preserve">The analysis identifies the following key emission hotspots for kykxwuejrw:</w:t>
      </w:r>
    </w:p>
    <w:p>
      <w:pPr>
        <w:numPr>
          <w:ilvl w:val="0"/>
          <w:numId w:val="1020"/>
        </w:numPr>
        <w:pStyle w:val="Compact"/>
      </w:pPr>
      <w:r>
        <w:rPr>
          <w:bCs/>
          <w:b/>
        </w:rPr>
        <w:t xml:space="preserve">Materials (Upstream - Scope 3):</w:t>
      </w:r>
      <w:r>
        <w:t xml:space="preserve"> </w:t>
      </w:r>
      <w:r>
        <w:t xml:space="preserve">Representing 42.0 kgCO2e (approximately 106% of the net total, highlighting its gross impact), material acquisition and processing are the most significant contributors to the product\'s carbon footprint. This is largely driven by the primary aluminum content.</w:t>
      </w:r>
    </w:p>
    <w:p>
      <w:pPr>
        <w:numPr>
          <w:ilvl w:val="0"/>
          <w:numId w:val="1020"/>
        </w:numPr>
        <w:pStyle w:val="Compact"/>
      </w:pPr>
      <w:r>
        <w:rPr>
          <w:bCs/>
          <w:b/>
        </w:rPr>
        <w:t xml:space="preserve">Use Phase (Downstream - Scope 3):</w:t>
      </w:r>
      <w:r>
        <w:t xml:space="preserve"> </w:t>
      </w:r>
      <w:r>
        <w:t xml:space="preserve">Accounting for 25.0 kgCO2e (approximately 63% of the net total), the energy consumption during the product\'s lifespan is a substantial hotspot, especially given the assumed European average grid mix.</w:t>
      </w:r>
    </w:p>
    <w:p>
      <w:pPr>
        <w:numPr>
          <w:ilvl w:val="0"/>
          <w:numId w:val="1020"/>
        </w:numPr>
        <w:pStyle w:val="Compact"/>
      </w:pPr>
      <w:r>
        <w:rPr>
          <w:bCs/>
          <w:b/>
        </w:rPr>
        <w:t xml:space="preserve">End-of-Life (Downstream - Scope 3):</w:t>
      </w:r>
      <w:r>
        <w:t xml:space="preserve"> </w:t>
      </w:r>
      <w:r>
        <w:t xml:space="preserve">While showing a significant net benefit of -31.83 kgCO2e, the effectiveness of recycling programs is critical. The robust positive impact from avoided primary production underscores the value of circularity initiatives. Any reduction in the recyclability percentage or circular program effectiveness would diminish this benefit or turn it into an emission source.</w:t>
      </w:r>
    </w:p>
    <w:p>
      <w:pPr>
        <w:numPr>
          <w:ilvl w:val="0"/>
          <w:numId w:val="1020"/>
        </w:numPr>
        <w:pStyle w:val="Compact"/>
      </w:pPr>
      <w:r>
        <w:rPr>
          <w:bCs/>
          <w:b/>
        </w:rPr>
        <w:t xml:space="preserve">Production Energy (Scope 2):</w:t>
      </w:r>
      <w:r>
        <w:t xml:space="preserve"> </w:t>
      </w:r>
      <w:r>
        <w:t xml:space="preserve">Although smaller at 3.0 kgCO2e (7.6%), continued investment in renewable energy at the manufacturing facility in China is important for direct operational control.</w:t>
      </w:r>
    </w:p>
    <w:p>
      <w:pPr>
        <w:numPr>
          <w:ilvl w:val="0"/>
          <w:numId w:val="1020"/>
        </w:numPr>
        <w:pStyle w:val="Compact"/>
      </w:pPr>
      <w:r>
        <w:rPr>
          <w:bCs/>
          <w:b/>
        </w:rPr>
        <w:t xml:space="preserve">Transportation (Upstream &amp; Downstream - Scope 3):</w:t>
      </w:r>
      <w:r>
        <w:t xml:space="preserve"> </w:t>
      </w:r>
      <w:r>
        <w:t xml:space="preserve">At 1.44 kgCO2e (3.6%), transportation emissions are relatively low in this specific analysis, largely due to the efficiency of ocean freight. However, optimizing logistics and shifting to lower-carbon transport modes for shorter distances remain opportunities.</w:t>
      </w:r>
    </w:p>
    <w:bookmarkEnd w:id="42"/>
    <w:bookmarkStart w:id="43" w:name="reliability-and-limitations"/>
    <w:p>
      <w:pPr>
        <w:pStyle w:val="Heading3"/>
      </w:pPr>
      <w:r>
        <w:t xml:space="preserve">5.2. Reliability and Limitations</w:t>
      </w:r>
    </w:p>
    <w:p>
      <w:pPr>
        <w:pStyle w:val="FirstParagraph"/>
      </w:pPr>
      <w:r>
        <w:t xml:space="preserve">The reliability of this PCF analysis is based on a combination of specific primary data and industry-average secondary data. Key considerations include:</w:t>
      </w:r>
    </w:p>
    <w:p>
      <w:pPr>
        <w:numPr>
          <w:ilvl w:val="0"/>
          <w:numId w:val="1021"/>
        </w:numPr>
        <w:pStyle w:val="Compact"/>
      </w:pPr>
      <w:r>
        <w:rPr>
          <w:bCs/>
          <w:b/>
        </w:rPr>
        <w:t xml:space="preserve">Data Specificity:</w:t>
      </w:r>
      <w:r>
        <w:t xml:space="preserve"> </w:t>
      </w:r>
      <w:r>
        <w:t xml:space="preserve">The BOM data (as described by `emxqkffm`), renewable energy usage (`lgdippthph`), energy intensity (`ggjjimlmeo`), product lifespan (`dsehijgdhw`), energy consumption in use (`yxrxtmsitf`), and recyclability percentage (`mfxkiqkrvv`) were explicitly provided, enhancing the accuracy of these specific inputs for the illustrative calculations.</w:t>
      </w:r>
    </w:p>
    <w:p>
      <w:pPr>
        <w:numPr>
          <w:ilvl w:val="0"/>
          <w:numId w:val="1021"/>
        </w:numPr>
        <w:pStyle w:val="Compact"/>
      </w:pPr>
      <w:r>
        <w:rPr>
          <w:bCs/>
          <w:b/>
        </w:rPr>
        <w:t xml:space="preserve">Placeholder Data:</w:t>
      </w:r>
      <w:r>
        <w:t xml:space="preserve"> </w:t>
      </w:r>
      <w:r>
        <w:t xml:space="preserve">Assumptions were made for placeholder values such as `Select Mode` for transport and `Delivery Type` for last-mile. Using more specific, real-world data for these parameters would improve the precision of the analysis.</w:t>
      </w:r>
    </w:p>
    <w:p>
      <w:pPr>
        <w:numPr>
          <w:ilvl w:val="0"/>
          <w:numId w:val="1021"/>
        </w:numPr>
        <w:pStyle w:val="Compact"/>
      </w:pPr>
      <w:r>
        <w:rPr>
          <w:bCs/>
          <w:b/>
        </w:rPr>
        <w:t xml:space="preserve">Emission Factors:</w:t>
      </w:r>
      <w:r>
        <w:t xml:space="preserve"> </w:t>
      </w:r>
      <w:r>
        <w:t xml:space="preserve">Generic industry-standard emission factors from reputable databases were used for many calculations (e.g., for electricity grids, transport, and general EoL processes). Using supplier-specific emission factors for materials and transport, and regional grid mixes for the use phase, would further refine the results.</w:t>
      </w:r>
    </w:p>
    <w:p>
      <w:pPr>
        <w:numPr>
          <w:ilvl w:val="0"/>
          <w:numId w:val="1021"/>
        </w:numPr>
        <w:pStyle w:val="Compact"/>
      </w:pPr>
      <w:r>
        <w:rPr>
          <w:bCs/>
          <w:b/>
        </w:rPr>
        <w:t xml:space="preserve">LSR Standard:</w:t>
      </w:r>
      <w:r>
        <w:t xml:space="preserve"> </w:t>
      </w:r>
      <w:r>
        <w:t xml:space="preserve">The application of the 2026 LSR Standard is conceptual. A full implementation would require detailed, product-specific data on land-use change impacts and removals associated with raw material sourcing.</w:t>
      </w:r>
    </w:p>
    <w:p>
      <w:pPr>
        <w:numPr>
          <w:ilvl w:val="0"/>
          <w:numId w:val="1021"/>
        </w:numPr>
        <w:pStyle w:val="Compact"/>
      </w:pPr>
      <w:r>
        <w:rPr>
          <w:bCs/>
          <w:b/>
        </w:rPr>
        <w:t xml:space="preserve">System Boundary:</w:t>
      </w:r>
      <w:r>
        <w:t xml:space="preserve"> </w:t>
      </w:r>
      <w:r>
        <w:t xml:space="preserve">The `factory_gate` system boundary focuses primarily on direct product-related emissions. A broader "cradle-to-grave" analysis might capture additional indirect corporate emissions.</w:t>
      </w:r>
    </w:p>
    <w:bookmarkEnd w:id="43"/>
    <w:bookmarkStart w:id="44" w:name="recommendations-for-reduction"/>
    <w:p>
      <w:pPr>
        <w:pStyle w:val="Heading3"/>
      </w:pPr>
      <w:r>
        <w:t xml:space="preserve">5.3. Recommendations for Reduction</w:t>
      </w:r>
    </w:p>
    <w:p>
      <w:pPr>
        <w:pStyle w:val="FirstParagraph"/>
      </w:pPr>
      <w:r>
        <w:t xml:space="preserve">Based on the hotspots identified, vvvuxtovmn should consider the following:</w:t>
      </w:r>
    </w:p>
    <w:p>
      <w:pPr>
        <w:numPr>
          <w:ilvl w:val="0"/>
          <w:numId w:val="1022"/>
        </w:numPr>
        <w:pStyle w:val="Compact"/>
      </w:pPr>
      <w:r>
        <w:rPr>
          <w:bCs/>
          <w:b/>
        </w:rPr>
        <w:t xml:space="preserve">Material Optimization:</w:t>
      </w:r>
      <w:r>
        <w:t xml:space="preserve"> </w:t>
      </w:r>
      <w:r>
        <w:t xml:space="preserve">Explore alternative, lower-carbon materials for the high-impact components, or significantly increase the recycled content where feasible, particularly for materials like aluminum. Collaborating with suppliers to obtain primary emission data for purchased materials can also unlock further reduction opportunities.</w:t>
      </w:r>
    </w:p>
    <w:p>
      <w:pPr>
        <w:numPr>
          <w:ilvl w:val="0"/>
          <w:numId w:val="1022"/>
        </w:numPr>
        <w:pStyle w:val="Compact"/>
      </w:pPr>
      <w:r>
        <w:rPr>
          <w:bCs/>
          <w:b/>
        </w:rPr>
        <w:t xml:space="preserve">Energy Efficiency in Use:</w:t>
      </w:r>
      <w:r>
        <w:t xml:space="preserve"> </w:t>
      </w:r>
      <w:r>
        <w:t xml:space="preserve">Design kykxwuejrw for greater energy efficiency during its use phase. Promoting consumer behavior that minimizes energy consumption can also contribute to reductions.</w:t>
      </w:r>
    </w:p>
    <w:p>
      <w:pPr>
        <w:numPr>
          <w:ilvl w:val="0"/>
          <w:numId w:val="1022"/>
        </w:numPr>
        <w:pStyle w:val="Compact"/>
      </w:pPr>
      <w:r>
        <w:rPr>
          <w:bCs/>
          <w:b/>
        </w:rPr>
        <w:t xml:space="preserve">Circular Economy Initiatives:</w:t>
      </w:r>
      <w:r>
        <w:t xml:space="preserve"> </w:t>
      </w:r>
      <w:r>
        <w:t xml:space="preserve">Continuously strengthen and expand take-back programs and design for disassembly and material recovery to maximize the benefits of recyclability and minimize landfill waste.</w:t>
      </w:r>
    </w:p>
    <w:p>
      <w:pPr>
        <w:numPr>
          <w:ilvl w:val="0"/>
          <w:numId w:val="1022"/>
        </w:numPr>
        <w:pStyle w:val="Compact"/>
      </w:pPr>
      <w:r>
        <w:rPr>
          <w:bCs/>
          <w:b/>
        </w:rPr>
        <w:t xml:space="preserve">Renewable Energy Procurement:</w:t>
      </w:r>
      <w:r>
        <w:t xml:space="preserve"> </w:t>
      </w:r>
      <w:r>
        <w:t xml:space="preserve">Increase the percentage of renewable energy used in manufacturing operations in China beyond the current `lgdippthph` level, potentially through power purchase agreements (PPAs) or on-site renewable energy generation.</w:t>
      </w:r>
    </w:p>
    <w:p>
      <w:pPr>
        <w:numPr>
          <w:ilvl w:val="0"/>
          <w:numId w:val="1022"/>
        </w:numPr>
        <w:pStyle w:val="Compact"/>
      </w:pPr>
      <w:r>
        <w:rPr>
          <w:bCs/>
          <w:b/>
        </w:rPr>
        <w:t xml:space="preserve">Logistics Optimization:</w:t>
      </w:r>
      <w:r>
        <w:t xml:space="preserve"> </w:t>
      </w:r>
      <w:r>
        <w:t xml:space="preserve">Continuously optimize transport routes, consolidate shipments, and investigate lower-emission transport modes (e.g., rail over road where possible) for both inbound and outbound logistics.</w:t>
      </w:r>
    </w:p>
    <w:bookmarkEnd w:id="44"/>
    <w:bookmarkEnd w:id="45"/>
    <w:p>
      <w:pPr>
        <w:pStyle w:val="FirstParagraph"/>
      </w:pPr>
      <w:r>
        <w:t xml:space="preserve">Confidential - Internal Use Only</w:t>
      </w:r>
    </w:p>
    <w:p>
      <w:pPr>
        <w:pStyle w:val="BodyText"/>
      </w:pPr>
      <w:r>
        <w:t xml:space="preserve">© 2026 vvvuxtovmn.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kykxwuejrw</dc:title>
  <dc:creator/>
  <dc:description>Detailed Product Carbon Footprint (PCF) analysis report for kykxwuejrw, following GHG Protocol standards and 2026 LSR update requirements, prepared by ojxynofequ for vvvuxtovmn.</dc:description>
  <dc:language>en</dc:language>
  <cp:keywords/>
  <dcterms:created xsi:type="dcterms:W3CDTF">2026-07-15T08:34:09Z</dcterms:created>
  <dcterms:modified xsi:type="dcterms:W3CDTF">2026-07-15T08:34:09Z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