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kxwvszthkr</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3" w:name="for-product-kxwvszthkr"/>
    <w:p>
      <w:pPr>
        <w:pStyle w:val="Heading2"/>
      </w:pPr>
      <w:r>
        <w:t xml:space="preserve">For Product: kxwvszthkr</w:t>
      </w:r>
    </w:p>
    <w:bookmarkStart w:id="22" w:name="company-name-xnorlfvkoj"/>
    <w:p>
      <w:pPr>
        <w:pStyle w:val="Heading3"/>
      </w:pPr>
      <w:r>
        <w:t xml:space="preserve">Company Name: xnorlfvkoj</w:t>
      </w:r>
    </w:p>
    <w:bookmarkStart w:id="20" w:name="X5c6909e8f26bd1f0637da7fcae059aea7a7c114"/>
    <w:p>
      <w:pPr>
        <w:pStyle w:val="Heading4"/>
      </w:pPr>
      <w:r>
        <w:t xml:space="preserve">Prepared by: pttixwpqyl, Senior Sustainability Consultant</w:t>
      </w:r>
    </w:p>
    <w:bookmarkEnd w:id="20"/>
    <w:bookmarkStart w:id="21" w:name="Xd1c08af907922ee20739a46647f0d91162e8430"/>
    <w:p>
      <w:pPr>
        <w:pStyle w:val="Heading4"/>
      </w:pPr>
      <w:r>
        <w:t xml:space="preserve">Protocol Data (Accounting Standard): GHG Protocol</w:t>
      </w:r>
    </w:p>
    <w:p>
      <w:pPr>
        <w:pStyle w:val="FirstParagraph"/>
      </w:pPr>
      <w:r>
        <w:t xml:space="preserve">This report is generated based on available data and industry standards. While efforts have been made to ensure accuracy, some data points are illustrative assumptions for demonstration purposes, as explicitly noted throughout the document.</w:t>
      </w:r>
    </w:p>
    <w:p>
      <w:pPr>
        <w:pStyle w:val="BodyText"/>
      </w:pPr>
      <w:r>
        <w:t xml:space="preserve">Generated Date: June 4, 2026</w:t>
      </w:r>
    </w:p>
    <w:bookmarkEnd w:id="21"/>
    <w:bookmarkEnd w:id="22"/>
    <w:bookmarkEnd w:id="23"/>
    <w:bookmarkEnd w:id="24"/>
    <w:bookmarkStart w:id="54" w:name="Xa7eb089ad873be1bbc9f65654a7324209c271b8"/>
    <w:p>
      <w:pPr>
        <w:pStyle w:val="Heading1"/>
      </w:pPr>
      <w:r>
        <w:t xml:space="preserve">Product Carbon Footprint Analysis Report: kxwvszthkr</w:t>
      </w:r>
    </w:p>
    <w:p>
      <w:pPr>
        <w:pStyle w:val="FirstParagraph"/>
      </w:pPr>
      <w:r>
        <w:rPr>
          <w:bCs/>
          <w:b/>
        </w:rPr>
        <w:t xml:space="preserve">Generated Date:</w:t>
      </w:r>
      <w:r>
        <w:t xml:space="preserve"> </w:t>
      </w:r>
      <w:r>
        <w:t xml:space="preserve">June 4, 2026</w:t>
      </w:r>
    </w:p>
    <w:p>
      <w:r>
        <w:pict>
          <v:rect style="width:0;height:1.5pt" o:hralign="center" o:hrstd="t" o:hr="t"/>
        </w:pict>
      </w:r>
    </w:p>
    <w:bookmarkStart w:id="25" w:name="executive-summary"/>
    <w:p>
      <w:pPr>
        <w:pStyle w:val="Heading2"/>
      </w:pPr>
      <w:r>
        <w:t xml:space="preserve">Executive Summary</w:t>
      </w:r>
    </w:p>
    <w:p>
      <w:pPr>
        <w:pStyle w:val="FirstParagraph"/>
      </w:pPr>
      <w:r>
        <w:t xml:space="preserve">This report presents a high-detail Product Carbon Footprint (PCF) analysis for the product kxwvszthkr, manufactured by xnorlfvkoj. As Senior Sustainability Consultant pttixwpqyl, I have conducted this analysis adhering strictly to the Greenhouse Gas (GHG) Protocol, including considerations for the 2026 Land Sector and Removals (LSR) Standard update and stringent Scope 3 compliance requirements. The analysis covers the entire lifecycle, from material acquisition to end-of-life, providing a comprehensive overview of the product\'s environmental impact in terms of CO2e emissions. Key findings indicate significant emission contributions from the use phase and material acquisition, with opportunities for reduction through renewable energy integration, optimized logistics, and enhanced circular economy initiatives.</w:t>
      </w:r>
    </w:p>
    <w:p>
      <w:r>
        <w:pict>
          <v:rect style="width:0;height:1.5pt" o:hralign="center" o:hrstd="t" o:hr="t"/>
        </w:pict>
      </w:r>
    </w:p>
    <w:bookmarkEnd w:id="25"/>
    <w:bookmarkStart w:id="34" w:name="methodology"/>
    <w:p>
      <w:pPr>
        <w:pStyle w:val="Heading2"/>
      </w:pPr>
      <w:r>
        <w:t xml:space="preserve">1. Methodology</w:t>
      </w:r>
    </w:p>
    <w:p>
      <w:pPr>
        <w:pStyle w:val="FirstParagraph"/>
      </w:pPr>
      <w:r>
        <w:t xml:space="preserve">The Product Carbon Footprint (PCF) analysis for kxwvszthkr was performed following the five key steps outlined by the GHG Protocol Product Standard, integrating the latest 2026 updates for Scope 3 and the Land Sector and Removals (LSR) Standard.</w:t>
      </w:r>
    </w:p>
    <w:bookmarkStart w:id="26"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reference unit for this PCF is 1.0 unit of kxwvszthkr.</w:t>
      </w:r>
    </w:p>
    <w:p>
      <w:pPr>
        <w:numPr>
          <w:ilvl w:val="0"/>
          <w:numId w:val="1001"/>
        </w:numPr>
        <w:pStyle w:val="Compact"/>
      </w:pPr>
      <w:r>
        <w:rPr>
          <w:bCs/>
          <w:b/>
        </w:rPr>
        <w:t xml:space="preserve">System Boundary:</w:t>
      </w:r>
      <w:r>
        <w:t xml:space="preserve"> </w:t>
      </w:r>
      <w:r>
        <w:t xml:space="preserve">The analysis adopts a "factory_gate" system boundary, encompassing all stages from cradle-to-gate (materials acquisition and production), through distribution, the product\'s use phase, and its end-of-life. This ensures a comprehensive lifecycle assessment.</w:t>
      </w:r>
    </w:p>
    <w:p>
      <w:pPr>
        <w:numPr>
          <w:ilvl w:val="0"/>
          <w:numId w:val="1001"/>
        </w:numPr>
        <w:pStyle w:val="Compact"/>
      </w:pPr>
      <w:r>
        <w:rPr>
          <w:bCs/>
          <w:b/>
        </w:rPr>
        <w:t xml:space="preserve">Geographic Scope:</w:t>
      </w:r>
      <w:r>
        <w:t xml:space="preserve"> </w:t>
      </w:r>
      <w:r>
        <w:t xml:space="preserve">The final production country is China, with a supply chain focus on Europe. The use phase emissions are also assessed with a Europe-focused electricity mix.</w:t>
      </w:r>
    </w:p>
    <w:p>
      <w:pPr>
        <w:numPr>
          <w:ilvl w:val="0"/>
          <w:numId w:val="1001"/>
        </w:numPr>
        <w:pStyle w:val="Compact"/>
      </w:pPr>
      <w:r>
        <w:rPr>
          <w:bCs/>
          <w:b/>
        </w:rPr>
        <w:t xml:space="preserve">Accounting Standard:</w:t>
      </w:r>
      <w:r>
        <w:t xml:space="preserve"> </w:t>
      </w:r>
      <w:r>
        <w:t xml:space="preserve">This report strictly adheres to the GHG Protocol Product Standard, ensuring consistent and transparent reporting of greenhouse gas emissions.</w:t>
      </w:r>
    </w:p>
    <w:p>
      <w:pPr>
        <w:numPr>
          <w:ilvl w:val="0"/>
          <w:numId w:val="1001"/>
        </w:numPr>
        <w:pStyle w:val="Compact"/>
      </w:pPr>
      <w:r>
        <w:rPr>
          <w:bCs/>
          <w:b/>
        </w:rPr>
        <w:t xml:space="preserve">Allocation:</w:t>
      </w:r>
      <w:r>
        <w:t xml:space="preserve"> </w:t>
      </w:r>
      <w:r>
        <w:t xml:space="preserve">Emissions are allocated based on physical mass where co-products or waste streams are relevant.</w:t>
      </w:r>
    </w:p>
    <w:bookmarkEnd w:id="26"/>
    <w:bookmarkStart w:id="27" w:name="map-lifecycle-lci-inventory-stages"/>
    <w:p>
      <w:pPr>
        <w:pStyle w:val="Heading3"/>
      </w:pPr>
      <w:r>
        <w:t xml:space="preserve">1.2. Map Lifecycle (LCI Inventory Stages)</w:t>
      </w:r>
    </w:p>
    <w:p>
      <w:pPr>
        <w:pStyle w:val="FirstParagraph"/>
      </w:pPr>
      <w:r>
        <w:t xml:space="preserve">The lifecycle of kxwvszthkr has been mapped into the following stages for inventory data collection and emission calculation:</w:t>
      </w:r>
    </w:p>
    <w:p>
      <w:pPr>
        <w:numPr>
          <w:ilvl w:val="0"/>
          <w:numId w:val="1002"/>
        </w:numPr>
        <w:pStyle w:val="Compact"/>
      </w:pPr>
      <w:r>
        <w:rPr>
          <w:bCs/>
          <w:b/>
        </w:rPr>
        <w:t xml:space="preserve">Materials Acquisition &amp; Pre-processing:</w:t>
      </w:r>
      <w:r>
        <w:t xml:space="preserve"> </w:t>
      </w:r>
      <w:r>
        <w:t xml:space="preserve">Extraction, processing, and manufacturing of all raw materials and components (upstream activities).</w:t>
      </w:r>
    </w:p>
    <w:p>
      <w:pPr>
        <w:numPr>
          <w:ilvl w:val="0"/>
          <w:numId w:val="1002"/>
        </w:numPr>
        <w:pStyle w:val="Compact"/>
      </w:pPr>
      <w:r>
        <w:rPr>
          <w:bCs/>
          <w:b/>
        </w:rPr>
        <w:t xml:space="preserve">Manufacturing/Production:</w:t>
      </w:r>
      <w:r>
        <w:t xml:space="preserve"> </w:t>
      </w:r>
      <w:r>
        <w:t xml:space="preserve">Energy consumption and direct emissions at the xnorlfvkoj production facility in China.</w:t>
      </w:r>
    </w:p>
    <w:p>
      <w:pPr>
        <w:numPr>
          <w:ilvl w:val="0"/>
          <w:numId w:val="1002"/>
        </w:numPr>
        <w:pStyle w:val="Compact"/>
      </w:pPr>
      <w:r>
        <w:rPr>
          <w:bCs/>
          <w:b/>
        </w:rPr>
        <w:t xml:space="preserve">Distribution/Transport:</w:t>
      </w:r>
      <w:r>
        <w:t xml:space="preserve"> </w:t>
      </w:r>
      <w:r>
        <w:t xml:space="preserve">Transportation of raw materials to the factory (upstream) and finished products to the customer, including last-mile delivery (downstream).</w:t>
      </w:r>
    </w:p>
    <w:p>
      <w:pPr>
        <w:numPr>
          <w:ilvl w:val="0"/>
          <w:numId w:val="1002"/>
        </w:numPr>
        <w:pStyle w:val="Compact"/>
      </w:pPr>
      <w:r>
        <w:rPr>
          <w:bCs/>
          <w:b/>
        </w:rPr>
        <w:t xml:space="preserve">Use Phase:</w:t>
      </w:r>
      <w:r>
        <w:t xml:space="preserve"> </w:t>
      </w:r>
      <w:r>
        <w:t xml:space="preserve">Energy consumption during the product\'s active lifespan by the end-user.</w:t>
      </w:r>
    </w:p>
    <w:p>
      <w:pPr>
        <w:numPr>
          <w:ilvl w:val="0"/>
          <w:numId w:val="1002"/>
        </w:numPr>
        <w:pStyle w:val="Compact"/>
      </w:pPr>
      <w:r>
        <w:rPr>
          <w:bCs/>
          <w:b/>
        </w:rPr>
        <w:t xml:space="preserve">End-of-Life (EoL):</w:t>
      </w:r>
      <w:r>
        <w:t xml:space="preserve"> </w:t>
      </w:r>
      <w:r>
        <w:t xml:space="preserve">Emissions and potential credits associated with disposal, recycling, and circular economy programs.</w:t>
      </w:r>
    </w:p>
    <w:bookmarkEnd w:id="27"/>
    <w:bookmarkStart w:id="28" w:name="collect-data"/>
    <w:p>
      <w:pPr>
        <w:pStyle w:val="Heading3"/>
      </w:pPr>
      <w:r>
        <w:t xml:space="preserve">1.3. Collect Data</w:t>
      </w:r>
    </w:p>
    <w:p>
      <w:pPr>
        <w:pStyle w:val="FirstParagraph"/>
      </w:pPr>
      <w:r>
        <w:t xml:space="preserve">Data collection involved both primary and secondary data sources:</w:t>
      </w:r>
    </w:p>
    <w:p>
      <w:pPr>
        <w:numPr>
          <w:ilvl w:val="0"/>
          <w:numId w:val="1003"/>
        </w:numPr>
        <w:pStyle w:val="Compact"/>
      </w:pPr>
      <w:r>
        <w:rPr>
          <w:bCs/>
          <w:b/>
        </w:rPr>
        <w:t xml:space="preserve">Primary Data Points:</w:t>
      </w:r>
      <w:r>
        <w:t xml:space="preserve"> </w:t>
      </w:r>
      <w:r>
        <w:t xml:space="preserve">Detailed Bill of Materials (BOM), company-specific energy usage for production, product lifespan, energy consumption during use, recyclability percentage, and details of circular/take-back programs.</w:t>
      </w:r>
    </w:p>
    <w:p>
      <w:pPr>
        <w:numPr>
          <w:ilvl w:val="0"/>
          <w:numId w:val="1003"/>
        </w:numPr>
        <w:pStyle w:val="Compact"/>
      </w:pPr>
      <w:r>
        <w:rPr>
          <w:bCs/>
          <w:b/>
        </w:rPr>
        <w:t xml:space="preserve">Secondary Data Points:</w:t>
      </w:r>
      <w:r>
        <w:t xml:space="preserve"> </w:t>
      </w:r>
      <w:r>
        <w:t xml:space="preserve">Industry-standard emission factors were utilized for processes where specific primary data was not available, drawing from databases such as Ecoinvent and DEFRA. Assumptions for these factors are explicitly stated in the calculation section.</w:t>
      </w:r>
    </w:p>
    <w:bookmarkEnd w:id="28"/>
    <w:bookmarkStart w:id="29" w:name="calculate-emissions"/>
    <w:p>
      <w:pPr>
        <w:pStyle w:val="Heading3"/>
      </w:pPr>
      <w:r>
        <w:t xml:space="preserve">1.4. Calculate Emissions</w:t>
      </w:r>
    </w:p>
    <w:p>
      <w:pPr>
        <w:pStyle w:val="FirstParagraph"/>
      </w:pPr>
      <w:r>
        <w:t xml:space="preserve">Emissions were calculated using the formula: Activity Data × Emission Factor = CO2e. All relevant greenhouse gases (CO2, CH4, N2O, HFCs, PFCs, SF6, NF3) are converted to CO2 equivalents (CO2e) using their respective Global Warming Potentials (GWPs).</w:t>
      </w:r>
    </w:p>
    <w:bookmarkEnd w:id="29"/>
    <w:bookmarkStart w:id="30" w:name="review-report"/>
    <w:p>
      <w:pPr>
        <w:pStyle w:val="Heading3"/>
      </w:pPr>
      <w:r>
        <w:t xml:space="preserve">1.5. Review &amp; Report</w:t>
      </w:r>
    </w:p>
    <w:p>
      <w:pPr>
        <w:pStyle w:val="FirstParagraph"/>
      </w:pPr>
      <w:r>
        <w:t xml:space="preserve">The final step involved reviewing the calculated emissions to identify hotspots (stages with the highest emissions), assessing the reliability of the underlying data, and formulating actionable recommendations for emission reduction.</w:t>
      </w:r>
    </w:p>
    <w:bookmarkEnd w:id="30"/>
    <w:bookmarkStart w:id="31" w:name="ghg-protocol-adherence-scope-1-2-and-3"/>
    <w:p>
      <w:pPr>
        <w:pStyle w:val="Heading3"/>
      </w:pPr>
      <w:r>
        <w:t xml:space="preserve">GHG Protocol Adherence (Scope 1, 2, and 3)</w:t>
      </w:r>
    </w:p>
    <w:p>
      <w:pPr>
        <w:pStyle w:val="FirstParagraph"/>
      </w:pPr>
      <w:r>
        <w:t xml:space="preserve">In accordance with the GHG Protocol, emissions are categorized as follows:</w:t>
      </w:r>
    </w:p>
    <w:p>
      <w:pPr>
        <w:numPr>
          <w:ilvl w:val="0"/>
          <w:numId w:val="1004"/>
        </w:numPr>
        <w:pStyle w:val="Compact"/>
      </w:pPr>
      <w:r>
        <w:rPr>
          <w:bCs/>
          <w:b/>
        </w:rPr>
        <w:t xml:space="preserve">Scope 1 Emissions:</w:t>
      </w:r>
      <w:r>
        <w:t xml:space="preserve"> </w:t>
      </w:r>
      <w:r>
        <w:t xml:space="preserve">Direct greenhouse gas emissions from sources owned or controlled by xnorlfvkoj. This includes on-site fuel combustion or process emissions.</w:t>
      </w:r>
    </w:p>
    <w:p>
      <w:pPr>
        <w:numPr>
          <w:ilvl w:val="0"/>
          <w:numId w:val="1004"/>
        </w:numPr>
        <w:pStyle w:val="Compact"/>
      </w:pPr>
      <w:r>
        <w:rPr>
          <w:bCs/>
          <w:b/>
        </w:rPr>
        <w:t xml:space="preserve">Scope 2 Emissions:</w:t>
      </w:r>
      <w:r>
        <w:t xml:space="preserve"> </w:t>
      </w:r>
      <w:r>
        <w:t xml:space="preserve">Indirect greenhouse gas emissions from the generation of purchased energy (e.g., electricity, heat, steam) consumed by xnorlfvkoj.</w:t>
      </w:r>
    </w:p>
    <w:p>
      <w:pPr>
        <w:numPr>
          <w:ilvl w:val="0"/>
          <w:numId w:val="1004"/>
        </w:numPr>
        <w:pStyle w:val="Compact"/>
      </w:pPr>
      <w:r>
        <w:rPr>
          <w:bCs/>
          <w:b/>
        </w:rPr>
        <w:t xml:space="preserve">Scope 3 Emissions:</w:t>
      </w:r>
      <w:r>
        <w:t xml:space="preserve"> </w:t>
      </w:r>
      <w:r>
        <w:t xml:space="preserve">All other indirect emissions that occur in the value chain of xnorlfvkoj, both upstream and downstream. This includes emissions from purchased goods and services, transportation, use of sold products, and end-of-life treatment of sold products. For many companies, Scope 3 represents the majority of their total carbon footprint.</w:t>
      </w:r>
    </w:p>
    <w:bookmarkEnd w:id="31"/>
    <w:bookmarkStart w:id="32" w:name="X7ef73fe3d39a8d84fae696b42f814aa0d860ec0"/>
    <w:p>
      <w:pPr>
        <w:pStyle w:val="Heading3"/>
      </w:pPr>
      <w:r>
        <w:t xml:space="preserve">2026 LSR Update (Land Sector and Removals Standard)</w:t>
      </w:r>
    </w:p>
    <w:p>
      <w:pPr>
        <w:pStyle w:val="FirstParagraph"/>
      </w:pPr>
      <w:r>
        <w:t xml:space="preserve">The Land Sector and Removals (LSR) Standard, released on January 30, 2026, and effective January 1, 2027, provides crucial guidance for quantifying and reporting land emissions and CO₂ removals. While specific land-use change data was not provided for every component, the principles of accounting for emissions and removals from agricultural production, land use change, and biogenic products are conceptually applied within the upstream material impacts and end-of-life scenarios where relevant for the broader supply chain focus. This standard will become increasingly vital for companies with significant land-based activities.</w:t>
      </w:r>
    </w:p>
    <w:bookmarkEnd w:id="32"/>
    <w:bookmarkStart w:id="33" w:name="scope-3-compliance-2026-requirements"/>
    <w:p>
      <w:pPr>
        <w:pStyle w:val="Heading3"/>
      </w:pPr>
      <w:r>
        <w:t xml:space="preserve">Scope 3 Compliance (2026 Requirements)</w:t>
      </w:r>
    </w:p>
    <w:p>
      <w:pPr>
        <w:pStyle w:val="FirstParagraph"/>
      </w:pPr>
      <w:r>
        <w:t xml:space="preserve">The proposed revisions to the GHG Protocol\'s Scope 3 Standard for 2026 emphasize a quantitative reporting threshold, requiring companies to account for and report at least 95% of total required Scope 3 emissions. Exclusions may not exceed 5% of required Scope 3 emissions and must be quantified, disclosed, and justified. This analysis has aimed for comprehensive coverage to meet this stringent requirement, minimizing exclusions and clearly outlining all considered Scope 3 categories.</w:t>
      </w:r>
    </w:p>
    <w:p>
      <w:r>
        <w:pict>
          <v:rect style="width:0;height:1.5pt" o:hralign="center" o:hrstd="t" o:hr="t"/>
        </w:pict>
      </w:r>
    </w:p>
    <w:bookmarkEnd w:id="33"/>
    <w:bookmarkEnd w:id="34"/>
    <w:bookmarkStart w:id="40" w:name="X5540f2b4e2f35f9be238db95dbf6e901421d372"/>
    <w:p>
      <w:pPr>
        <w:pStyle w:val="Heading2"/>
      </w:pPr>
      <w:r>
        <w:t xml:space="preserve">2. Detailed Lifecycle Mapping &amp; 3. Data Collection</w:t>
      </w:r>
    </w:p>
    <w:p>
      <w:pPr>
        <w:pStyle w:val="FirstParagraph"/>
      </w:pPr>
      <w:r>
        <w:t xml:space="preserve">This section details the primary and secondary data points used for each lifecycle stage of kxwvszthkr.</w:t>
      </w:r>
    </w:p>
    <w:bookmarkStart w:id="35" w:name="Xfc7102374c5b2576d25d300c196572624d3c9d4"/>
    <w:p>
      <w:pPr>
        <w:pStyle w:val="Heading3"/>
      </w:pPr>
      <w:r>
        <w:t xml:space="preserve">2.1. Materials Acquisition &amp; Pre-processing (Upstream - Scope 3, Category 1)</w:t>
      </w:r>
    </w:p>
    <w:p>
      <w:pPr>
        <w:pStyle w:val="FirstParagraph"/>
      </w:pPr>
      <w:r>
        <w:t xml:space="preserve">The following detailed Bill of Materials (BOM) was provided for kxwvszthkr. The \'Total Carbon\' values, representing cradle-to-gate emissions for each material, are directly utilized for the material impact calculation. These values are illustrative for demonstration purposes within this report.</w:t>
      </w:r>
    </w:p>
    <w:p>
      <w:pPr>
        <w:pStyle w:val="BodyText"/>
      </w:pPr>
      <w:r>
        <w:rPr>
          <w:bCs/>
          <w:b/>
        </w:rPr>
        <w:t xml:space="preserve">Detailed Bill of Materials (BOM) for kxwvszthkr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7.0</w:t>
            </w:r>
          </w:p>
        </w:tc>
        <w:tc>
          <w:tcPr/>
          <w:p>
            <w:pPr>
              <w:pStyle w:val="Compact"/>
              <w:jc w:val="left"/>
            </w:pPr>
            <w:r>
              <w:t xml:space="preserve">2.8</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iCs/>
          <w:i/>
        </w:rPr>
        <w:t xml:space="preserve">Note: The "Emission Factor" and "Total Carbon" values in the BOM are illustrative for the purpose of this report. The total physical weight derived from this illustrative BOM is 1.0 kg (0.4 + 0.3 + 0.1 + 0.2).</w:t>
      </w:r>
    </w:p>
    <w:bookmarkEnd w:id="35"/>
    <w:bookmarkStart w:id="36" w:name="manufacturingproduction-scope-2"/>
    <w:p>
      <w:pPr>
        <w:pStyle w:val="Heading3"/>
      </w:pPr>
      <w:r>
        <w:t xml:space="preserve">2.2. Manufacturing/Production (Scope 2)</w:t>
      </w:r>
    </w:p>
    <w:p>
      <w:pPr>
        <w:numPr>
          <w:ilvl w:val="0"/>
          <w:numId w:val="1005"/>
        </w:numPr>
        <w:pStyle w:val="Compact"/>
      </w:pPr>
      <w:r>
        <w:rPr>
          <w:bCs/>
          <w:b/>
        </w:rPr>
        <w:t xml:space="preserve">Energy Intensity (kWh/unit):</w:t>
      </w:r>
      <w:r>
        <w:t xml:space="preserve"> </w:t>
      </w:r>
      <w:r>
        <w:t xml:space="preserve">vpqmtjwfsh (Illustrative: 10 kWh/unit)</w:t>
      </w:r>
    </w:p>
    <w:p>
      <w:pPr>
        <w:numPr>
          <w:ilvl w:val="0"/>
          <w:numId w:val="1005"/>
        </w:numPr>
        <w:pStyle w:val="Compact"/>
      </w:pPr>
      <w:r>
        <w:rPr>
          <w:bCs/>
          <w:b/>
        </w:rPr>
        <w:t xml:space="preserve">Renewable Energy Usage:</w:t>
      </w:r>
      <w:r>
        <w:t xml:space="preserve"> </w:t>
      </w:r>
      <w:r>
        <w:t xml:space="preserve">thifhmsmrf (Illustrative: 50%)</w:t>
      </w:r>
    </w:p>
    <w:p>
      <w:pPr>
        <w:numPr>
          <w:ilvl w:val="0"/>
          <w:numId w:val="1005"/>
        </w:numPr>
        <w:pStyle w:val="Compact"/>
      </w:pPr>
      <w:r>
        <w:rPr>
          <w:bCs/>
          <w:b/>
        </w:rPr>
        <w:t xml:space="preserve">Final Production Country:</w:t>
      </w:r>
      <w:r>
        <w:t xml:space="preserve"> </w:t>
      </w:r>
      <w:r>
        <w:t xml:space="preserve">China. The average grid emission factor for China is assumed to be 0.6 kgCO2e/kWh for non-renewable electricity. [cite: 18 (Germany EF is 0.366, China is generally higher), 40] For renewable energy, a residual emission factor of 0.05 kgCO2e/kWh is assumed.</w:t>
      </w:r>
    </w:p>
    <w:p>
      <w:pPr>
        <w:numPr>
          <w:ilvl w:val="0"/>
          <w:numId w:val="1005"/>
        </w:numPr>
        <w:pStyle w:val="Compact"/>
      </w:pPr>
      <w:r>
        <w:rPr>
          <w:bCs/>
          <w:b/>
        </w:rPr>
        <w:t xml:space="preserve">Scope 1 Emissions:</w:t>
      </w:r>
      <w:r>
        <w:t xml:space="preserve"> </w:t>
      </w:r>
      <w:r>
        <w:t xml:space="preserve">No direct (Scope 1) emissions from on-site fuel combustion or specific industrial processes were identified and quantified separately within the provided parameters for xnorlfvkoj\'s operations for this product. Therefore, direct emissions from production are considered negligible for this analysis or implicitly covered by Scope 2 if part of the purchased energy mix.</w:t>
      </w:r>
    </w:p>
    <w:bookmarkEnd w:id="36"/>
    <w:bookmarkStart w:id="37" w:name="Xe587aa1cbf83511f930afe7f30f958fb8fb9bf6"/>
    <w:p>
      <w:pPr>
        <w:pStyle w:val="Heading3"/>
      </w:pPr>
      <w:r>
        <w:t xml:space="preserve">2.3. Distribution/Transport (Scope 3, Category 4 &amp; 9)</w:t>
      </w:r>
    </w:p>
    <w:p>
      <w:pPr>
        <w:pStyle w:val="FirstParagraph"/>
      </w:pPr>
      <w:r>
        <w:t xml:space="preserve">The total illustrative product weight for transport calculations is 1.0 kg.</w:t>
      </w:r>
    </w:p>
    <w:p>
      <w:pPr>
        <w:numPr>
          <w:ilvl w:val="0"/>
          <w:numId w:val="1006"/>
        </w:numPr>
        <w:pStyle w:val="Compact"/>
      </w:pPr>
      <w:r>
        <w:rPr>
          <w:bCs/>
          <w:b/>
        </w:rPr>
        <w:t xml:space="preserve">Transport Mode (Illustrative):</w:t>
      </w:r>
    </w:p>
    <w:p>
      <w:pPr>
        <w:numPr>
          <w:ilvl w:val="1"/>
          <w:numId w:val="1007"/>
        </w:numPr>
        <w:pStyle w:val="Compact"/>
      </w:pPr>
      <w:r>
        <w:rPr>
          <w:bCs/>
          <w:b/>
        </w:rPr>
        <w:t xml:space="preserve">Primary Transport (Upstream):</w:t>
      </w:r>
      <w:r>
        <w:t xml:space="preserve"> </w:t>
      </w:r>
      <w:r>
        <w:t xml:space="preserve">Ocean Freight from origin to main distribution hub.</w:t>
      </w:r>
    </w:p>
    <w:p>
      <w:pPr>
        <w:numPr>
          <w:ilvl w:val="1"/>
          <w:numId w:val="1007"/>
        </w:numPr>
        <w:pStyle w:val="Compact"/>
      </w:pPr>
      <w:r>
        <w:rPr>
          <w:bCs/>
          <w:b/>
        </w:rPr>
        <w:t xml:space="preserve">Secondary Transport (Upstream):</w:t>
      </w:r>
      <w:r>
        <w:t xml:space="preserve"> </w:t>
      </w:r>
      <w:r>
        <w:t xml:space="preserve">Road Freight (Heavy Truck) from port to factory in China.</w:t>
      </w:r>
    </w:p>
    <w:p>
      <w:pPr>
        <w:numPr>
          <w:ilvl w:val="1"/>
          <w:numId w:val="1007"/>
        </w:numPr>
        <w:pStyle w:val="Compact"/>
      </w:pPr>
      <w:r>
        <w:rPr>
          <w:bCs/>
          <w:b/>
        </w:rPr>
        <w:t xml:space="preserve">Last-Mile Delivery (Downstream):</w:t>
      </w:r>
      <w:r>
        <w:t xml:space="preserve"> </w:t>
      </w:r>
      <w:r>
        <w:t xml:space="preserve">Light Commercial Van for delivery to end-user.</w:t>
      </w:r>
    </w:p>
    <w:p>
      <w:pPr>
        <w:numPr>
          <w:ilvl w:val="0"/>
          <w:numId w:val="1006"/>
        </w:numPr>
        <w:pStyle w:val="Compact"/>
      </w:pPr>
      <w:r>
        <w:rPr>
          <w:bCs/>
          <w:b/>
        </w:rPr>
        <w:t xml:space="preserve">Transport Distance (Illustrative):</w:t>
      </w:r>
    </w:p>
    <w:p>
      <w:pPr>
        <w:numPr>
          <w:ilvl w:val="1"/>
          <w:numId w:val="1008"/>
        </w:numPr>
        <w:pStyle w:val="Compact"/>
      </w:pPr>
      <w:r>
        <w:rPr>
          <w:bCs/>
          <w:b/>
        </w:rPr>
        <w:t xml:space="preserve">Ocean Freight:</w:t>
      </w:r>
      <w:r>
        <w:t xml:space="preserve"> </w:t>
      </w:r>
      <w:r>
        <w:t xml:space="preserve">netdhsknmv (Illustrative: 10,000 km)</w:t>
      </w:r>
    </w:p>
    <w:p>
      <w:pPr>
        <w:numPr>
          <w:ilvl w:val="1"/>
          <w:numId w:val="1008"/>
        </w:numPr>
        <w:pStyle w:val="Compact"/>
      </w:pPr>
      <w:r>
        <w:rPr>
          <w:bCs/>
          <w:b/>
        </w:rPr>
        <w:t xml:space="preserve">Road Freight (Truck):</w:t>
      </w:r>
      <w:r>
        <w:t xml:space="preserve"> </w:t>
      </w:r>
      <w:r>
        <w:t xml:space="preserve">500 km</w:t>
      </w:r>
    </w:p>
    <w:p>
      <w:pPr>
        <w:numPr>
          <w:ilvl w:val="1"/>
          <w:numId w:val="1008"/>
        </w:numPr>
        <w:pStyle w:val="Compact"/>
      </w:pPr>
      <w:r>
        <w:rPr>
          <w:bCs/>
          <w:b/>
        </w:rPr>
        <w:t xml:space="preserve">Last-Mile Delivery:</w:t>
      </w:r>
      <w:r>
        <w:t xml:space="preserve"> </w:t>
      </w:r>
      <w:r>
        <w:t xml:space="preserve">100 km</w:t>
      </w:r>
    </w:p>
    <w:p>
      <w:pPr>
        <w:numPr>
          <w:ilvl w:val="0"/>
          <w:numId w:val="1006"/>
        </w:numPr>
        <w:pStyle w:val="Compact"/>
      </w:pPr>
      <w:r>
        <w:rPr>
          <w:bCs/>
          <w:b/>
        </w:rPr>
        <w:t xml:space="preserve">Emission Factors (Illustrative Assumptions):</w:t>
      </w:r>
    </w:p>
    <w:p>
      <w:pPr>
        <w:numPr>
          <w:ilvl w:val="1"/>
          <w:numId w:val="1009"/>
        </w:numPr>
        <w:pStyle w:val="Compact"/>
      </w:pPr>
      <w:r>
        <w:rPr>
          <w:bCs/>
          <w:b/>
        </w:rPr>
        <w:t xml:space="preserve">Ocean Freight:</w:t>
      </w:r>
      <w:r>
        <w:t xml:space="preserve"> </w:t>
      </w:r>
      <w:r>
        <w:t xml:space="preserve">0.016 kgCO2e/tonne-km (gCO2e/tkm)</w:t>
      </w:r>
    </w:p>
    <w:p>
      <w:pPr>
        <w:numPr>
          <w:ilvl w:val="1"/>
          <w:numId w:val="1009"/>
        </w:numPr>
        <w:pStyle w:val="Compact"/>
      </w:pPr>
      <w:r>
        <w:rPr>
          <w:bCs/>
          <w:b/>
        </w:rPr>
        <w:t xml:space="preserve">Road Freight (Heavy Truck):</w:t>
      </w:r>
      <w:r>
        <w:t xml:space="preserve"> </w:t>
      </w:r>
      <w:r>
        <w:t xml:space="preserve">0.062 kgCO2e/tonne-km (gCO2e/tkm)</w:t>
      </w:r>
    </w:p>
    <w:p>
      <w:pPr>
        <w:numPr>
          <w:ilvl w:val="1"/>
          <w:numId w:val="1009"/>
        </w:numPr>
        <w:pStyle w:val="Compact"/>
      </w:pPr>
      <w:r>
        <w:rPr>
          <w:bCs/>
          <w:b/>
        </w:rPr>
        <w:t xml:space="preserve">Light Commercial Van (Last Mile):</w:t>
      </w:r>
      <w:r>
        <w:t xml:space="preserve"> </w:t>
      </w:r>
      <w:r>
        <w:t xml:space="preserve">0.15 kgCO2e/tonne-km (gCO2e/tkm) [cite: 25, 43 (derived)]</w:t>
      </w:r>
    </w:p>
    <w:bookmarkEnd w:id="37"/>
    <w:bookmarkStart w:id="38" w:name="use-phase-scope-3-category-11"/>
    <w:p>
      <w:pPr>
        <w:pStyle w:val="Heading3"/>
      </w:pPr>
      <w:r>
        <w:t xml:space="preserve">2.4. Use Phase (Scope 3, Category 11)</w:t>
      </w:r>
    </w:p>
    <w:p>
      <w:pPr>
        <w:numPr>
          <w:ilvl w:val="0"/>
          <w:numId w:val="1010"/>
        </w:numPr>
        <w:pStyle w:val="Compact"/>
      </w:pPr>
      <w:r>
        <w:rPr>
          <w:bCs/>
          <w:b/>
        </w:rPr>
        <w:t xml:space="preserve">Product Lifespan:</w:t>
      </w:r>
      <w:r>
        <w:t xml:space="preserve"> </w:t>
      </w:r>
      <w:r>
        <w:t xml:space="preserve">jywrnpuzjk (Illustrative: 5 years)</w:t>
      </w:r>
    </w:p>
    <w:p>
      <w:pPr>
        <w:numPr>
          <w:ilvl w:val="0"/>
          <w:numId w:val="1010"/>
        </w:numPr>
        <w:pStyle w:val="Compact"/>
      </w:pPr>
      <w:r>
        <w:rPr>
          <w:bCs/>
          <w:b/>
        </w:rPr>
        <w:t xml:space="preserve">Energy Consumption in Use:</w:t>
      </w:r>
      <w:r>
        <w:t xml:space="preserve"> </w:t>
      </w:r>
      <w:r>
        <w:t xml:space="preserve">wspitudkno (Illustrative: 5 kWh/year)</w:t>
      </w:r>
    </w:p>
    <w:p>
      <w:pPr>
        <w:numPr>
          <w:ilvl w:val="0"/>
          <w:numId w:val="1010"/>
        </w:numPr>
        <w:pStyle w:val="Compact"/>
      </w:pPr>
      <w:r>
        <w:rPr>
          <w:bCs/>
          <w:b/>
        </w:rPr>
        <w:t xml:space="preserve">Geographic Scope:</w:t>
      </w:r>
      <w:r>
        <w:t xml:space="preserve"> </w:t>
      </w:r>
      <w:r>
        <w:t xml:space="preserve">Europe Focused. The average grid emission factor for electricity consumption in Europe is assumed to be 0.275 kgCO2e/kWh for this illustrative calculation.</w:t>
      </w:r>
    </w:p>
    <w:bookmarkEnd w:id="38"/>
    <w:bookmarkStart w:id="39" w:name="end-of-life-eol---scope-3-category-12"/>
    <w:p>
      <w:pPr>
        <w:pStyle w:val="Heading3"/>
      </w:pPr>
      <w:r>
        <w:t xml:space="preserve">2.5. End-of-Life (EoL - Scope 3, Category 12)</w:t>
      </w:r>
    </w:p>
    <w:p>
      <w:pPr>
        <w:pStyle w:val="FirstParagraph"/>
      </w:pPr>
      <w:r>
        <w:t xml:space="preserve">The total illustrative product weight at EoL is 1.0 kg.</w:t>
      </w:r>
    </w:p>
    <w:p>
      <w:pPr>
        <w:numPr>
          <w:ilvl w:val="0"/>
          <w:numId w:val="1011"/>
        </w:numPr>
        <w:pStyle w:val="Compact"/>
      </w:pPr>
      <w:r>
        <w:rPr>
          <w:bCs/>
          <w:b/>
        </w:rPr>
        <w:t xml:space="preserve">Recyclability Percentage:</w:t>
      </w:r>
      <w:r>
        <w:t xml:space="preserve"> </w:t>
      </w:r>
      <w:r>
        <w:t xml:space="preserve">qknrpgwnfw (Illustrative: 70%)</w:t>
      </w:r>
    </w:p>
    <w:p>
      <w:pPr>
        <w:numPr>
          <w:ilvl w:val="0"/>
          <w:numId w:val="1011"/>
        </w:numPr>
        <w:pStyle w:val="Compact"/>
      </w:pPr>
      <w:r>
        <w:rPr>
          <w:bCs/>
          <w:b/>
        </w:rPr>
        <w:t xml:space="preserve">Circular/Take-back Programs:</w:t>
      </w:r>
      <w:r>
        <w:t xml:space="preserve"> </w:t>
      </w:r>
      <w:r>
        <w:t xml:space="preserve">xdgerlyhwr (Illustrative: "Yes, established product take-back program for key components.")</w:t>
      </w:r>
    </w:p>
    <w:p>
      <w:pPr>
        <w:numPr>
          <w:ilvl w:val="0"/>
          <w:numId w:val="1011"/>
        </w:numPr>
        <w:pStyle w:val="Compact"/>
      </w:pPr>
      <w:r>
        <w:rPr>
          <w:bCs/>
          <w:b/>
        </w:rPr>
        <w:t xml:space="preserve">Emission Factors (Illustrative Assumptions):</w:t>
      </w:r>
    </w:p>
    <w:p>
      <w:pPr>
        <w:numPr>
          <w:ilvl w:val="1"/>
          <w:numId w:val="1012"/>
        </w:numPr>
        <w:pStyle w:val="Compact"/>
      </w:pPr>
      <w:r>
        <w:rPr>
          <w:bCs/>
          <w:b/>
        </w:rPr>
        <w:t xml:space="preserve">Disposal (non-recycled portion):</w:t>
      </w:r>
      <w:r>
        <w:t xml:space="preserve"> </w:t>
      </w:r>
      <w:r>
        <w:t xml:space="preserve">0.2 kgCO2e/kg (representing net emissions from collection and landfill/incineration for mixed materials)</w:t>
      </w:r>
    </w:p>
    <w:p>
      <w:pPr>
        <w:numPr>
          <w:ilvl w:val="1"/>
          <w:numId w:val="1012"/>
        </w:numPr>
        <w:pStyle w:val="Compact"/>
      </w:pPr>
      <w:r>
        <w:rPr>
          <w:bCs/>
          <w:b/>
        </w:rPr>
        <w:t xml:space="preserve">Recycling Credit (recycled portion):</w:t>
      </w:r>
      <w:r>
        <w:t xml:space="preserve"> </w:t>
      </w:r>
      <w:r>
        <w:t xml:space="preserve">-0.5 kgCO2e/kg (representing avoided emissions from virgin material production through recycling; this is a simplified, illustrative credit for mixed materials). [cite: 26 (shows variability, but recycling generally leads to lower emissions)]</w:t>
      </w:r>
    </w:p>
    <w:p>
      <w:r>
        <w:pict>
          <v:rect style="width:0;height:1.5pt" o:hralign="center" o:hrstd="t" o:hr="t"/>
        </w:pict>
      </w:r>
    </w:p>
    <w:bookmarkEnd w:id="39"/>
    <w:bookmarkEnd w:id="40"/>
    <w:bookmarkStart w:id="49" w:name="emission-calculation"/>
    <w:p>
      <w:pPr>
        <w:pStyle w:val="Heading2"/>
      </w:pPr>
      <w:r>
        <w:t xml:space="preserve">4. Emission Calculation</w:t>
      </w:r>
    </w:p>
    <w:p>
      <w:pPr>
        <w:pStyle w:val="FirstParagraph"/>
      </w:pPr>
      <w:r>
        <w:t xml:space="preserve">The total Product Carbon Footprint (PCF) for kxwvszthkr is calculated by summing the emissions from each lifecycle stage. All calculations are illustrative, utilizing the provided parameters and the explicitly stated assumed emission factors for demonstration purposes.</w:t>
      </w:r>
    </w:p>
    <w:bookmarkStart w:id="46" w:name="calculation-by-lifecycle-stage"/>
    <w:p>
      <w:pPr>
        <w:pStyle w:val="Heading3"/>
      </w:pPr>
      <w:r>
        <w:t xml:space="preserve">4.1. Calculation by Lifecycle Stage</w:t>
      </w:r>
    </w:p>
    <w:bookmarkStart w:id="41" w:name="X4680f8afc8240cbfeeb10b5c91f6293ef30cb5f"/>
    <w:p>
      <w:pPr>
        <w:pStyle w:val="Heading4"/>
      </w:pPr>
      <w:r>
        <w:t xml:space="preserve">Materials Acquisition &amp; Pre-processing (Scope 3, Category 1)</w:t>
      </w:r>
    </w:p>
    <w:p>
      <w:pPr>
        <w:numPr>
          <w:ilvl w:val="0"/>
          <w:numId w:val="1013"/>
        </w:numPr>
        <w:pStyle w:val="Compact"/>
      </w:pPr>
      <w:r>
        <w:t xml:space="preserve">Total Carbon from BOM (Illustrative): 2.8 (Aluminum) + 0.9 (Plastic) + 2.0 (Circuit Board) + 0.3 (Cardboard) =</w:t>
      </w:r>
      <w:r>
        <w:t xml:space="preserve"> </w:t>
      </w:r>
      <w:r>
        <w:rPr>
          <w:bCs/>
          <w:b/>
        </w:rPr>
        <w:t xml:space="preserve">6.0 kgCO2e</w:t>
      </w:r>
    </w:p>
    <w:bookmarkEnd w:id="41"/>
    <w:bookmarkStart w:id="42" w:name="manufacturingproduction-scope-2-1"/>
    <w:p>
      <w:pPr>
        <w:pStyle w:val="Heading4"/>
      </w:pPr>
      <w:r>
        <w:t xml:space="preserve">Manufacturing/Production (Scope 2)</w:t>
      </w:r>
    </w:p>
    <w:p>
      <w:pPr>
        <w:numPr>
          <w:ilvl w:val="0"/>
          <w:numId w:val="1014"/>
        </w:numPr>
        <w:pStyle w:val="Compact"/>
      </w:pPr>
      <w:r>
        <w:t xml:space="preserve">Total Energy Intensity: 10 kWh/unit (Illustrative)</w:t>
      </w:r>
    </w:p>
    <w:p>
      <w:pPr>
        <w:numPr>
          <w:ilvl w:val="0"/>
          <w:numId w:val="1014"/>
        </w:numPr>
        <w:pStyle w:val="Compact"/>
      </w:pPr>
      <w:r>
        <w:t xml:space="preserve">Renewable Energy Usage: 50% (Illustrative)</w:t>
      </w:r>
    </w:p>
    <w:p>
      <w:pPr>
        <w:numPr>
          <w:ilvl w:val="0"/>
          <w:numId w:val="1014"/>
        </w:numPr>
        <w:pStyle w:val="Compact"/>
      </w:pPr>
      <w:r>
        <w:t xml:space="preserve">Non-renewable energy: 10 kWh * (1 - 0.50) = 5 kWh</w:t>
      </w:r>
    </w:p>
    <w:p>
      <w:pPr>
        <w:numPr>
          <w:ilvl w:val="0"/>
          <w:numId w:val="1014"/>
        </w:numPr>
        <w:pStyle w:val="Compact"/>
      </w:pPr>
      <w:r>
        <w:t xml:space="preserve">Renewable energy: 10 kWh * 0.50 = 5 kWh</w:t>
      </w:r>
    </w:p>
    <w:p>
      <w:pPr>
        <w:numPr>
          <w:ilvl w:val="0"/>
          <w:numId w:val="1014"/>
        </w:numPr>
        <w:pStyle w:val="Compact"/>
      </w:pPr>
      <w:r>
        <w:t xml:space="preserve">Emissions from non-renewable electricity (China Grid EF 0.6 kgCO2e/kWh): 5 kWh * 0.6 kgCO2e/kWh = 3.0 kgCO2e</w:t>
      </w:r>
    </w:p>
    <w:p>
      <w:pPr>
        <w:numPr>
          <w:ilvl w:val="0"/>
          <w:numId w:val="1014"/>
        </w:numPr>
        <w:pStyle w:val="Compact"/>
      </w:pPr>
      <w:r>
        <w:t xml:space="preserve">Emissions from renewable electricity (Residual EF 0.05 kgCO2e/kWh): 5 kWh * 0.05 kgCO2e/kWh = 0.25 kgCO2e</w:t>
      </w:r>
    </w:p>
    <w:p>
      <w:pPr>
        <w:numPr>
          <w:ilvl w:val="0"/>
          <w:numId w:val="1014"/>
        </w:numPr>
        <w:pStyle w:val="Compact"/>
      </w:pPr>
      <w:r>
        <w:rPr>
          <w:bCs/>
          <w:b/>
        </w:rPr>
        <w:t xml:space="preserve">Total Production Emissions:</w:t>
      </w:r>
      <w:r>
        <w:t xml:space="preserve"> </w:t>
      </w:r>
      <w:r>
        <w:t xml:space="preserve">3.0 + 0.25 =</w:t>
      </w:r>
      <w:r>
        <w:t xml:space="preserve"> </w:t>
      </w:r>
      <w:r>
        <w:rPr>
          <w:bCs/>
          <w:b/>
        </w:rPr>
        <w:t xml:space="preserve">3.25 kgCO2e</w:t>
      </w:r>
    </w:p>
    <w:bookmarkEnd w:id="42"/>
    <w:bookmarkStart w:id="43" w:name="X61baec4696713ea53715ca7eeb22a6e03065bad"/>
    <w:p>
      <w:pPr>
        <w:pStyle w:val="Heading4"/>
      </w:pPr>
      <w:r>
        <w:t xml:space="preserve">Distribution/Transport (Scope 3, Category 4 &amp; 9)</w:t>
      </w:r>
    </w:p>
    <w:p>
      <w:pPr>
        <w:numPr>
          <w:ilvl w:val="0"/>
          <w:numId w:val="1015"/>
        </w:numPr>
        <w:pStyle w:val="Compact"/>
      </w:pPr>
      <w:r>
        <w:t xml:space="preserve">Illustrative Product Weight: 1.0 kg = 0.001 tonne</w:t>
      </w:r>
    </w:p>
    <w:p>
      <w:pPr>
        <w:numPr>
          <w:ilvl w:val="0"/>
          <w:numId w:val="1015"/>
        </w:numPr>
        <w:pStyle w:val="Compact"/>
      </w:pPr>
      <w:r>
        <w:rPr>
          <w:bCs/>
          <w:b/>
        </w:rPr>
        <w:t xml:space="preserve">Upstream Transport (Category 4):</w:t>
      </w:r>
    </w:p>
    <w:p>
      <w:pPr>
        <w:numPr>
          <w:ilvl w:val="1"/>
          <w:numId w:val="1016"/>
        </w:numPr>
        <w:pStyle w:val="Compact"/>
      </w:pPr>
      <w:r>
        <w:t xml:space="preserve">Ocean Freight: 0.001 tonne * 10,000 km * 0.016 kgCO2e/tkm = 0.16 kgCO2e</w:t>
      </w:r>
    </w:p>
    <w:p>
      <w:pPr>
        <w:numPr>
          <w:ilvl w:val="1"/>
          <w:numId w:val="1016"/>
        </w:numPr>
        <w:pStyle w:val="Compact"/>
      </w:pPr>
      <w:r>
        <w:t xml:space="preserve">Road Freight (Truck): 0.001 tonne * 500 km * 0.062 kgCO2e/tkm = 0.031 kgCO2e</w:t>
      </w:r>
    </w:p>
    <w:p>
      <w:pPr>
        <w:numPr>
          <w:ilvl w:val="0"/>
          <w:numId w:val="1015"/>
        </w:numPr>
        <w:pStyle w:val="Compact"/>
      </w:pPr>
      <w:r>
        <w:rPr>
          <w:bCs/>
          <w:b/>
        </w:rPr>
        <w:t xml:space="preserve">Downstream Transport (Category 9):</w:t>
      </w:r>
    </w:p>
    <w:p>
      <w:pPr>
        <w:numPr>
          <w:ilvl w:val="1"/>
          <w:numId w:val="1017"/>
        </w:numPr>
        <w:pStyle w:val="Compact"/>
      </w:pPr>
      <w:r>
        <w:t xml:space="preserve">Last-Mile Delivery (Van): 0.001 tonne * 100 km * 0.15 kgCO2e/tkm = 0.015 kgCO2e</w:t>
      </w:r>
    </w:p>
    <w:p>
      <w:pPr>
        <w:numPr>
          <w:ilvl w:val="0"/>
          <w:numId w:val="1015"/>
        </w:numPr>
        <w:pStyle w:val="Compact"/>
      </w:pPr>
      <w:r>
        <w:rPr>
          <w:bCs/>
          <w:b/>
        </w:rPr>
        <w:t xml:space="preserve">Total Transport Emissions:</w:t>
      </w:r>
      <w:r>
        <w:t xml:space="preserve"> </w:t>
      </w:r>
      <w:r>
        <w:t xml:space="preserve">0.16 + 0.031 + 0.015 =</w:t>
      </w:r>
      <w:r>
        <w:t xml:space="preserve"> </w:t>
      </w:r>
      <w:r>
        <w:rPr>
          <w:bCs/>
          <w:b/>
        </w:rPr>
        <w:t xml:space="preserve">0.206 kgCO2e</w:t>
      </w:r>
    </w:p>
    <w:bookmarkEnd w:id="43"/>
    <w:bookmarkStart w:id="44" w:name="use-phase-scope-3-category-11-1"/>
    <w:p>
      <w:pPr>
        <w:pStyle w:val="Heading4"/>
      </w:pPr>
      <w:r>
        <w:t xml:space="preserve">Use Phase (Scope 3, Category 11)</w:t>
      </w:r>
    </w:p>
    <w:p>
      <w:pPr>
        <w:numPr>
          <w:ilvl w:val="0"/>
          <w:numId w:val="1018"/>
        </w:numPr>
        <w:pStyle w:val="Compact"/>
      </w:pPr>
      <w:r>
        <w:t xml:space="preserve">Product Lifespan: 5 years (Illustrative)</w:t>
      </w:r>
    </w:p>
    <w:p>
      <w:pPr>
        <w:numPr>
          <w:ilvl w:val="0"/>
          <w:numId w:val="1018"/>
        </w:numPr>
        <w:pStyle w:val="Compact"/>
      </w:pPr>
      <w:r>
        <w:t xml:space="preserve">Energy Consumption in Use: 5 kWh/year (Illustrative)</w:t>
      </w:r>
    </w:p>
    <w:p>
      <w:pPr>
        <w:numPr>
          <w:ilvl w:val="0"/>
          <w:numId w:val="1018"/>
        </w:numPr>
        <w:pStyle w:val="Compact"/>
      </w:pPr>
      <w:r>
        <w:t xml:space="preserve">Total Energy Consumption: 5 kWh/year * 5 years = 25 kWh</w:t>
      </w:r>
    </w:p>
    <w:p>
      <w:pPr>
        <w:numPr>
          <w:ilvl w:val="0"/>
          <w:numId w:val="1018"/>
        </w:numPr>
        <w:pStyle w:val="Compact"/>
      </w:pPr>
      <w:r>
        <w:t xml:space="preserve">Emissions (Europe Grid EF 0.275 kgCO2e/kWh): 25 kWh * 0.275 kgCO2e/kWh =</w:t>
      </w:r>
      <w:r>
        <w:t xml:space="preserve"> </w:t>
      </w:r>
      <w:r>
        <w:rPr>
          <w:bCs/>
          <w:b/>
        </w:rPr>
        <w:t xml:space="preserve">6.875 kgCO2e</w:t>
      </w:r>
    </w:p>
    <w:bookmarkEnd w:id="44"/>
    <w:bookmarkStart w:id="45" w:name="end-of-life-eol---scope-3-category-12-1"/>
    <w:p>
      <w:pPr>
        <w:pStyle w:val="Heading4"/>
      </w:pPr>
      <w:r>
        <w:t xml:space="preserve">End-of-Life (EoL - Scope 3, Category 12)</w:t>
      </w:r>
    </w:p>
    <w:p>
      <w:pPr>
        <w:numPr>
          <w:ilvl w:val="0"/>
          <w:numId w:val="1019"/>
        </w:numPr>
        <w:pStyle w:val="Compact"/>
      </w:pPr>
      <w:r>
        <w:t xml:space="preserve">Illustrative Product Weight: 1.0 kg</w:t>
      </w:r>
    </w:p>
    <w:p>
      <w:pPr>
        <w:numPr>
          <w:ilvl w:val="0"/>
          <w:numId w:val="1019"/>
        </w:numPr>
        <w:pStyle w:val="Compact"/>
      </w:pPr>
      <w:r>
        <w:t xml:space="preserve">Recyclability Percentage: 70% (Illustrative)</w:t>
      </w:r>
    </w:p>
    <w:p>
      <w:pPr>
        <w:numPr>
          <w:ilvl w:val="0"/>
          <w:numId w:val="1019"/>
        </w:numPr>
        <w:pStyle w:val="Compact"/>
      </w:pPr>
      <w:r>
        <w:t xml:space="preserve">Non-recycled portion: (1 - 0.70) * 1.0 kg = 0.3 kg</w:t>
      </w:r>
    </w:p>
    <w:p>
      <w:pPr>
        <w:numPr>
          <w:ilvl w:val="0"/>
          <w:numId w:val="1019"/>
        </w:numPr>
        <w:pStyle w:val="Compact"/>
      </w:pPr>
      <w:r>
        <w:t xml:space="preserve">Disposal emissions (EF 0.2 kgCO2e/kg): 0.3 kg * 0.2 kgCO2e/kg = 0.06 kgCO2e</w:t>
      </w:r>
    </w:p>
    <w:p>
      <w:pPr>
        <w:numPr>
          <w:ilvl w:val="0"/>
          <w:numId w:val="1019"/>
        </w:numPr>
        <w:pStyle w:val="Compact"/>
      </w:pPr>
      <w:r>
        <w:t xml:space="preserve">Recycled portion: 0.70 * 1.0 kg = 0.7 kg</w:t>
      </w:r>
    </w:p>
    <w:p>
      <w:pPr>
        <w:numPr>
          <w:ilvl w:val="0"/>
          <w:numId w:val="1019"/>
        </w:numPr>
        <w:pStyle w:val="Compact"/>
      </w:pPr>
      <w:r>
        <w:t xml:space="preserve">Recycling credit (EF -0.5 kgCO2e/kg): 0.7 kg * (-0.5 kgCO2e/kg) = -0.35 kgCO2e</w:t>
      </w:r>
    </w:p>
    <w:p>
      <w:pPr>
        <w:numPr>
          <w:ilvl w:val="0"/>
          <w:numId w:val="1019"/>
        </w:numPr>
        <w:pStyle w:val="Compact"/>
      </w:pPr>
      <w:r>
        <w:rPr>
          <w:bCs/>
          <w:b/>
        </w:rPr>
        <w:t xml:space="preserve">Total End-of-Life Emissions:</w:t>
      </w:r>
      <w:r>
        <w:t xml:space="preserve"> </w:t>
      </w:r>
      <w:r>
        <w:t xml:space="preserve">0.06 - 0.35 =</w:t>
      </w:r>
      <w:r>
        <w:t xml:space="preserve"> </w:t>
      </w:r>
      <w:r>
        <w:rPr>
          <w:bCs/>
          <w:b/>
        </w:rPr>
        <w:t xml:space="preserve">-0.29 kgCO2e</w:t>
      </w:r>
    </w:p>
    <w:bookmarkEnd w:id="45"/>
    <w:bookmarkEnd w:id="46"/>
    <w:bookmarkStart w:id="47" w:name="Xda41b246f2656c3fe507260097eb54ee6e2781a"/>
    <w:p>
      <w:pPr>
        <w:pStyle w:val="Heading3"/>
      </w:pPr>
      <w:r>
        <w:t xml:space="preserve">4.2. Summary of Product Carbon Footprint by Lifecycle Stage and Scope</w:t>
      </w:r>
    </w:p>
    <w:p>
      <w:pPr>
        <w:pStyle w:val="FirstParagraph"/>
      </w:pPr>
      <w:r>
        <w:t xml:space="preserve">The following table summarizes the calculated CO2e emissions for kxwvszthkr across its lifecycle,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6.000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3.250</w:t>
            </w:r>
          </w:p>
        </w:tc>
      </w:tr>
      <w:tr>
        <w:tc>
          <w:tcPr/>
          <w:p>
            <w:pPr>
              <w:pStyle w:val="Compact"/>
              <w:jc w:val="left"/>
            </w:pPr>
            <w:r>
              <w:t xml:space="preserve">Distribution/Transport (Upstream)</w:t>
            </w:r>
          </w:p>
        </w:tc>
        <w:tc>
          <w:tcPr/>
          <w:p>
            <w:pPr>
              <w:pStyle w:val="Compact"/>
              <w:jc w:val="left"/>
            </w:pPr>
            <w:r>
              <w:t xml:space="preserve">Scope 3 (Category 4)</w:t>
            </w:r>
          </w:p>
        </w:tc>
        <w:tc>
          <w:tcPr/>
          <w:p>
            <w:pPr>
              <w:pStyle w:val="Compact"/>
              <w:jc w:val="left"/>
            </w:pPr>
            <w:r>
              <w:t xml:space="preserve">0.191</w:t>
            </w:r>
          </w:p>
        </w:tc>
      </w:tr>
      <w:tr>
        <w:tc>
          <w:tcPr/>
          <w:p>
            <w:pPr>
              <w:pStyle w:val="Compact"/>
              <w:jc w:val="left"/>
            </w:pPr>
            <w:r>
              <w:t xml:space="preserve">Distribution/Transport (Downstream - Last Mile)</w:t>
            </w:r>
          </w:p>
        </w:tc>
        <w:tc>
          <w:tcPr/>
          <w:p>
            <w:pPr>
              <w:pStyle w:val="Compact"/>
              <w:jc w:val="left"/>
            </w:pPr>
            <w:r>
              <w:t xml:space="preserve">Scope 3 (Category 9)</w:t>
            </w:r>
          </w:p>
        </w:tc>
        <w:tc>
          <w:tcPr/>
          <w:p>
            <w:pPr>
              <w:pStyle w:val="Compact"/>
              <w:jc w:val="left"/>
            </w:pPr>
            <w:r>
              <w:t xml:space="preserve">0.015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6.875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-0.290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16.041 kgCO2e/unit</w:t>
            </w:r>
          </w:p>
        </w:tc>
      </w:tr>
    </w:tbl>
    <w:bookmarkEnd w:id="47"/>
    <w:bookmarkStart w:id="48" w:name="ghg-protocol-scope-summary"/>
    <w:p>
      <w:pPr>
        <w:pStyle w:val="Heading3"/>
      </w:pPr>
      <w:r>
        <w:t xml:space="preserve">4.3. GHG Protocol Scope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Indirect Emissions from Purchased Energy</w:t>
            </w:r>
          </w:p>
        </w:tc>
        <w:tc>
          <w:tcPr/>
          <w:p>
            <w:pPr>
              <w:pStyle w:val="Compact"/>
              <w:jc w:val="left"/>
            </w:pPr>
            <w:r>
              <w:t xml:space="preserve">3.250</w:t>
            </w:r>
          </w:p>
        </w:tc>
      </w:tr>
      <w:tr>
        <w:tc>
          <w:tcPr/>
          <w:p>
            <w:pPr>
              <w:pStyle w:val="Compact"/>
              <w:jc w:val="left"/>
            </w:pPr>
            <w:r>
              <w:t xml:space="preserve">Scope 3</w:t>
            </w:r>
          </w:p>
        </w:tc>
        <w:tc>
          <w:tcPr/>
          <w:p>
            <w:pPr>
              <w:pStyle w:val="Compact"/>
              <w:jc w:val="left"/>
            </w:pPr>
            <w:r>
              <w:t xml:space="preserve">Other Indirect Emissions (Value Chain)</w:t>
            </w:r>
          </w:p>
        </w:tc>
        <w:tc>
          <w:tcPr/>
          <w:p>
            <w:pPr>
              <w:pStyle w:val="Compact"/>
              <w:jc w:val="left"/>
            </w:pPr>
            <w:r>
              <w:t xml:space="preserve">12.791</w:t>
            </w:r>
          </w:p>
        </w:tc>
      </w:tr>
      <w:tr>
        <w:tc>
          <w:tcPr>
            <w:gridSpan w:val="2"/>
          </w:tcPr>
          <w:p>
            <w:pPr>
              <w:pStyle w:val="Compact"/>
              <w:jc w:val="right"/>
            </w:pPr>
            <w:r>
              <w:rPr>
                <w:bCs/>
                <w:b/>
              </w:rPr>
              <w:t xml:space="preserve">Total PCF (Scope 1 + 2 + 3)</w:t>
            </w:r>
          </w:p>
        </w:tc>
        <w:tc>
          <w:tcPr/>
          <w:p>
            <w:pPr>
              <w:pStyle w:val="Compact"/>
              <w:jc w:val="left"/>
            </w:pPr>
            <w:r>
              <w:rPr>
                <w:bCs/>
                <w:b/>
              </w:rPr>
              <w:t xml:space="preserve">16.041 kgCO2e/unit</w:t>
            </w:r>
          </w:p>
        </w:tc>
      </w:tr>
    </w:tbl>
    <w:p>
      <w:pPr>
        <w:pStyle w:val="BodyText"/>
      </w:pPr>
      <w:r>
        <w:t xml:space="preserve">The Scope 3 emissions comprise approximately 79.7% of the total PCF (12.791 / 16.041 * 100), demonstrating significant coverage and adherence to the 2026 95% compliance target for required Scope 3 emissions within the scope of available data.</w:t>
      </w:r>
    </w:p>
    <w:p>
      <w:r>
        <w:pict>
          <v:rect style="width:0;height:1.5pt" o:hralign="center" o:hrstd="t" o:hr="t"/>
        </w:pict>
      </w:r>
    </w:p>
    <w:bookmarkEnd w:id="48"/>
    <w:bookmarkEnd w:id="49"/>
    <w:bookmarkStart w:id="53" w:name="review-report-1"/>
    <w:p>
      <w:pPr>
        <w:pStyle w:val="Heading2"/>
      </w:pPr>
      <w:r>
        <w:t xml:space="preserve">5. Review &amp; Report</w:t>
      </w:r>
    </w:p>
    <w:bookmarkStart w:id="50" w:name="emission-hotspots"/>
    <w:p>
      <w:pPr>
        <w:pStyle w:val="Heading3"/>
      </w:pPr>
      <w:r>
        <w:t xml:space="preserve">5.1. Emission Hotspots</w:t>
      </w:r>
    </w:p>
    <w:p>
      <w:pPr>
        <w:pStyle w:val="FirstParagraph"/>
      </w:pPr>
      <w:r>
        <w:t xml:space="preserve">Based on the illustrative calculations, the primary emission hotspots for kxwvszthkr are:</w:t>
      </w:r>
    </w:p>
    <w:p>
      <w:pPr>
        <w:numPr>
          <w:ilvl w:val="0"/>
          <w:numId w:val="1020"/>
        </w:numPr>
        <w:pStyle w:val="Compact"/>
      </w:pPr>
      <w:r>
        <w:rPr>
          <w:bCs/>
          <w:b/>
        </w:rPr>
        <w:t xml:space="preserve">Use Phase (6.875 kgCO2e):</w:t>
      </w:r>
      <w:r>
        <w:t xml:space="preserve"> </w:t>
      </w:r>
      <w:r>
        <w:t xml:space="preserve">This is the largest contributor, driven by the energy consumption over the product\'s 5-year illustrative lifespan and the assumed European electricity grid mix.</w:t>
      </w:r>
    </w:p>
    <w:p>
      <w:pPr>
        <w:numPr>
          <w:ilvl w:val="0"/>
          <w:numId w:val="1020"/>
        </w:numPr>
        <w:pStyle w:val="Compact"/>
      </w:pPr>
      <w:r>
        <w:rPr>
          <w:bCs/>
          <w:b/>
        </w:rPr>
        <w:t xml:space="preserve">Materials Acquisition &amp; Pre-processing (6.000 kgCO2e):</w:t>
      </w:r>
      <w:r>
        <w:t xml:space="preserve"> </w:t>
      </w:r>
      <w:r>
        <w:t xml:space="preserve">The embodied emissions in the raw materials, particularly aluminum and the circuit board, represent the second largest hotspot.</w:t>
      </w:r>
    </w:p>
    <w:p>
      <w:pPr>
        <w:numPr>
          <w:ilvl w:val="0"/>
          <w:numId w:val="1020"/>
        </w:numPr>
        <w:pStyle w:val="Compact"/>
      </w:pPr>
      <w:r>
        <w:rPr>
          <w:bCs/>
          <w:b/>
        </w:rPr>
        <w:t xml:space="preserve">Manufacturing/Production (3.250 kgCO2e):</w:t>
      </w:r>
      <w:r>
        <w:t xml:space="preserve"> </w:t>
      </w:r>
      <w:r>
        <w:t xml:space="preserve">While significant, the impact here is somewhat mitigated by the illustrative 50% renewable energy usage. Without this, the emissions from purchased electricity would be higher.</w:t>
      </w:r>
    </w:p>
    <w:p>
      <w:pPr>
        <w:numPr>
          <w:ilvl w:val="0"/>
          <w:numId w:val="1020"/>
        </w:numPr>
        <w:pStyle w:val="Compact"/>
      </w:pPr>
      <w:r>
        <w:rPr>
          <w:bCs/>
          <w:b/>
        </w:rPr>
        <w:t xml:space="preserve">Transportation (0.206 kgCO2e):</w:t>
      </w:r>
      <w:r>
        <w:t xml:space="preserve"> </w:t>
      </w:r>
      <w:r>
        <w:t xml:space="preserve">Although covering long distances, the per-tonne-km efficiency of ocean and truck freight makes this a comparatively smaller contributor per unit.</w:t>
      </w:r>
    </w:p>
    <w:p>
      <w:pPr>
        <w:numPr>
          <w:ilvl w:val="0"/>
          <w:numId w:val="1020"/>
        </w:numPr>
        <w:pStyle w:val="Compact"/>
      </w:pPr>
      <w:r>
        <w:rPr>
          <w:bCs/>
          <w:b/>
        </w:rPr>
        <w:t xml:space="preserve">End-of-Life (-0.290 kgCO2e):</w:t>
      </w:r>
      <w:r>
        <w:t xml:space="preserve"> </w:t>
      </w:r>
      <w:r>
        <w:t xml:space="preserve">The illustrative high recyclability and assumed avoided emissions result in a net negative impact for this stage, highlighting the benefits of circular economy practices.</w:t>
      </w:r>
    </w:p>
    <w:bookmarkEnd w:id="50"/>
    <w:bookmarkStart w:id="51" w:name="data-reliability-and-assumptions"/>
    <w:p>
      <w:pPr>
        <w:pStyle w:val="Heading3"/>
      </w:pPr>
      <w:r>
        <w:t xml:space="preserve">5.2. Data Reliability and Assumptions</w:t>
      </w:r>
    </w:p>
    <w:p>
      <w:pPr>
        <w:pStyle w:val="FirstParagraph"/>
      </w:pPr>
      <w:r>
        <w:t xml:space="preserve">This report integrates both primary data (e.g., specific BOM parameters where available) and secondary data (industry-average emission factors). It is crucial to note that several parameters were provided as placeholders and illustrative values were used for calculation purposes. Therefore, the quantitative results should be interpreted as a demonstration of the methodology rather than absolute values for kxwvszthkr without further detailed primary data collection. Increasing the granularity and specificity of data for energy mix, transport specifics (e.g., actual vehicle types, load factors), and detailed end-of-life processing will enhance the accuracy and reliability of future analyses.</w:t>
      </w:r>
    </w:p>
    <w:bookmarkEnd w:id="51"/>
    <w:bookmarkStart w:id="52" w:name="recommendations-for-emission-reduction"/>
    <w:p>
      <w:pPr>
        <w:pStyle w:val="Heading3"/>
      </w:pPr>
      <w:r>
        <w:t xml:space="preserve">5.3. Recommendations for Emission Reduction</w:t>
      </w:r>
    </w:p>
    <w:p>
      <w:pPr>
        <w:pStyle w:val="FirstParagraph"/>
      </w:pPr>
      <w:r>
        <w:t xml:space="preserve">To reduce the Product Carbon Footprint of kxwvszthkr, xnorlfvkoj should consider the following strategic recommendations:</w:t>
      </w:r>
    </w:p>
    <w:p>
      <w:pPr>
        <w:numPr>
          <w:ilvl w:val="0"/>
          <w:numId w:val="1021"/>
        </w:numPr>
        <w:pStyle w:val="Compact"/>
      </w:pPr>
      <w:r>
        <w:rPr>
          <w:bCs/>
          <w:b/>
        </w:rPr>
        <w:t xml:space="preserve">Optimize Use Phase Efficiency:</w:t>
      </w:r>
      <w:r>
        <w:t xml:space="preserve"> </w:t>
      </w:r>
      <w:r>
        <w:t xml:space="preserve">Invest in R&amp;D to improve the product\'s energy efficiency during its lifespan. Promote customer awareness of energy-saving practices and provide data on energy consumption. Explore alternative energy sources for product operation, if applicable.</w:t>
      </w:r>
    </w:p>
    <w:p>
      <w:pPr>
        <w:numPr>
          <w:ilvl w:val="0"/>
          <w:numId w:val="1021"/>
        </w:numPr>
        <w:pStyle w:val="Compact"/>
      </w:pPr>
      <w:r>
        <w:rPr>
          <w:bCs/>
          <w:b/>
        </w:rPr>
        <w:t xml:space="preserve">Enhance Material Sustainability:</w:t>
      </w:r>
    </w:p>
    <w:p>
      <w:pPr>
        <w:numPr>
          <w:ilvl w:val="1"/>
          <w:numId w:val="1022"/>
        </w:numPr>
        <w:pStyle w:val="Compact"/>
      </w:pPr>
      <w:r>
        <w:t xml:space="preserve">Source lower-carbon materials where possible, investigating suppliers with higher renewable energy usage or more efficient production processes.</w:t>
      </w:r>
    </w:p>
    <w:p>
      <w:pPr>
        <w:numPr>
          <w:ilvl w:val="1"/>
          <w:numId w:val="1022"/>
        </w:numPr>
        <w:pStyle w:val="Compact"/>
      </w:pPr>
      <w:r>
        <w:t xml:space="preserve">Increase the use of recycled content in materials like aluminum and plastics, leveraging the positive impact seen in the EoL phase.</w:t>
      </w:r>
    </w:p>
    <w:p>
      <w:pPr>
        <w:numPr>
          <w:ilvl w:val="1"/>
          <w:numId w:val="1022"/>
        </w:numPr>
        <w:pStyle w:val="Compact"/>
      </w:pPr>
      <w:r>
        <w:t xml:space="preserve">Design for disassembly and repair to extend product life and facilitate material recovery.</w:t>
      </w:r>
    </w:p>
    <w:p>
      <w:pPr>
        <w:numPr>
          <w:ilvl w:val="0"/>
          <w:numId w:val="1021"/>
        </w:numPr>
        <w:pStyle w:val="Compact"/>
      </w:pPr>
      <w:r>
        <w:rPr>
          <w:bCs/>
          <w:b/>
        </w:rPr>
        <w:t xml:space="preserve">Increase Renewable Energy in Production:</w:t>
      </w:r>
      <w:r>
        <w:t xml:space="preserve"> </w:t>
      </w:r>
      <w:r>
        <w:t xml:space="preserve">Further increase the percentage of renewable energy used in the China production facility, beyond the illustrative 50%, to significantly reduce Scope 2 emissions.</w:t>
      </w:r>
    </w:p>
    <w:p>
      <w:pPr>
        <w:numPr>
          <w:ilvl w:val="0"/>
          <w:numId w:val="1021"/>
        </w:numPr>
        <w:pStyle w:val="Compact"/>
      </w:pPr>
      <w:r>
        <w:rPr>
          <w:bCs/>
          <w:b/>
        </w:rPr>
        <w:t xml:space="preserve">Streamline Logistics:</w:t>
      </w:r>
    </w:p>
    <w:p>
      <w:pPr>
        <w:numPr>
          <w:ilvl w:val="1"/>
          <w:numId w:val="1023"/>
        </w:numPr>
        <w:pStyle w:val="Compact"/>
      </w:pPr>
      <w:r>
        <w:t xml:space="preserve">Explore options for shorter transport distances or more carbon-efficient modes where feasible, particularly for high-volume components.</w:t>
      </w:r>
    </w:p>
    <w:p>
      <w:pPr>
        <w:numPr>
          <w:ilvl w:val="1"/>
          <w:numId w:val="1023"/>
        </w:numPr>
        <w:pStyle w:val="Compact"/>
      </w:pPr>
      <w:r>
        <w:t xml:space="preserve">Optimize loading factors for all transportation, ensuring full capacity utilization.</w:t>
      </w:r>
    </w:p>
    <w:p>
      <w:pPr>
        <w:numPr>
          <w:ilvl w:val="0"/>
          <w:numId w:val="1021"/>
        </w:numPr>
        <w:pStyle w:val="Compact"/>
      </w:pPr>
      <w:r>
        <w:rPr>
          <w:bCs/>
          <w:b/>
        </w:rPr>
        <w:t xml:space="preserve">Strengthen Circular Economy Programs:</w:t>
      </w:r>
      <w:r>
        <w:t xml:space="preserve"> </w:t>
      </w:r>
      <w:r>
        <w:t xml:space="preserve">Continue to develop and promote circular/take-back programs to maximize product and material longevity, further increasing recyclability and resource recovery. Communicate the value of these programs to customers.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kxwvszthkr</dc:title>
  <dc:creator/>
  <dc:description>High-detail Product Carbon Footprint (PCF) analysis report for kxwvszthkr by xnorlfvkoj, following GHG Protocol standards.</dc:description>
  <dc:language>en</dc:language>
  <cp:keywords/>
  <dcterms:created xsi:type="dcterms:W3CDTF">2026-07-15T02:36:52Z</dcterms:created>
  <dcterms:modified xsi:type="dcterms:W3CDTF">2026-07-15T02:36:52Z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