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kwznosmfkj</w:t>
      </w:r>
    </w:p>
    <w:bookmarkStart w:id="20" w:name="carboncalcpcf.com"/>
    <w:p>
      <w:pPr>
        <w:pStyle w:val="Heading1"/>
      </w:pPr>
      <w:r>
        <w:t xml:space="preserve">carboncalcpcf.com</w:t>
      </w:r>
    </w:p>
    <w:p>
      <w:pPr>
        <w:pStyle w:val="FirstParagraph"/>
      </w:pPr>
      <w:r>
        <w:t xml:space="preserve">Product Carbon Footprint (PCF) Analysis Report</w:t>
      </w:r>
    </w:p>
    <w:p>
      <w:pPr>
        <w:pStyle w:val="BodyText"/>
      </w:pPr>
      <w:r>
        <w:t xml:space="preserve">Product: kwznosmfkj</w:t>
      </w:r>
    </w:p>
    <w:p>
      <w:pPr>
        <w:pStyle w:val="BodyText"/>
      </w:pPr>
      <w:r>
        <w:rPr>
          <w:bCs/>
          <w:b/>
        </w:rPr>
        <w:t xml:space="preserve">Company:</w:t>
      </w:r>
      <w:r>
        <w:t xml:space="preserve"> </w:t>
      </w:r>
      <w:r>
        <w:t xml:space="preserve">kfnpuwxxle</w:t>
      </w:r>
    </w:p>
    <w:p>
      <w:pPr>
        <w:pStyle w:val="BodyText"/>
      </w:pPr>
      <w:r>
        <w:rPr>
          <w:bCs/>
          <w:b/>
        </w:rPr>
        <w:t xml:space="preserve">Senior Sustainability Consultant:</w:t>
      </w:r>
      <w:r>
        <w:t xml:space="preserve"> </w:t>
      </w:r>
      <w:r>
        <w:t xml:space="preserve">qfmvjxtirz</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and industry standards, intended for informational purposes.</w:t>
      </w:r>
    </w:p>
    <w:bookmarkEnd w:id="20"/>
    <w:bookmarkStart w:id="21" w:name="X0a75a7aceee071f24ec9ee0782eeb7790af525c"/>
    <w:p>
      <w:pPr>
        <w:pStyle w:val="Heading1"/>
      </w:pPr>
      <w:r>
        <w:t xml:space="preserve">Product Carbon Footprint (PCF) Analysis Report for kwznosmfkj</w:t>
      </w:r>
    </w:p>
    <w:p>
      <w:pPr>
        <w:pStyle w:val="FirstParagraph"/>
      </w:pPr>
      <w:r>
        <w:rPr>
          <w:bCs/>
          <w:b/>
        </w:rPr>
        <w:t xml:space="preserve">Generated Date:</w:t>
      </w:r>
      <w:r>
        <w:t xml:space="preserve"> </w:t>
      </w:r>
      <w:r>
        <w:t xml:space="preserve">June 1, 2026</w:t>
      </w:r>
    </w:p>
    <w:p>
      <w:pPr>
        <w:pStyle w:val="BodyText"/>
      </w:pPr>
      <w:r>
        <w:rPr>
          <w:bCs/>
          <w:b/>
        </w:rPr>
        <w:t xml:space="preserve">Company Name:</w:t>
      </w:r>
      <w:r>
        <w:t xml:space="preserve"> </w:t>
      </w:r>
      <w:r>
        <w:t xml:space="preserve">kfnpuwxxle</w:t>
      </w:r>
    </w:p>
    <w:p>
      <w:pPr>
        <w:pStyle w:val="BodyText"/>
      </w:pPr>
      <w:r>
        <w:rPr>
          <w:bCs/>
          <w:b/>
        </w:rPr>
        <w:t xml:space="preserve">Senior Sustainability Consultant:</w:t>
      </w:r>
      <w:r>
        <w:t xml:space="preserve"> </w:t>
      </w:r>
      <w:r>
        <w:t xml:space="preserve">qfmvjxtirz</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 kwznosmfkj, manufactured by kfnpuwxxle. Conducted by qfmvjxtirz, a Senior Sustainability Consultant specializing in GHG Protocol, this analysis quantifies the greenhouse gas (GHG) emissions across the product\'s lifecycle from a "factory-gate" system boundary. The methodology adheres strictly to the GHG Protocol, categorizing emissions into Scope 1, Scope 2, and Scope 3, and applying the 2026 Land Sector and Removals (LSR) Standard where applicable. The total carbon footprint for 1.0 functional unit of kwznosmfkj is calculated to be</w:t>
      </w:r>
      <w:r>
        <w:t xml:space="preserve"> </w:t>
      </w:r>
      <w:r>
        <w:rPr>
          <w:bCs/>
          <w:b/>
        </w:rPr>
        <w:t xml:space="preserve">21.982 kg CO2e</w:t>
      </w:r>
      <w:r>
        <w:t xml:space="preserve">.</w:t>
      </w:r>
    </w:p>
    <w:p>
      <w:r>
        <w:pict>
          <v:rect style="width:0;height:1.5pt" o:hralign="center" o:hrstd="t" o:hr="t"/>
        </w:pict>
      </w:r>
    </w:p>
    <w:bookmarkEnd w:id="22"/>
    <w:bookmarkStart w:id="23" w:name="define-scope"/>
    <w:p>
      <w:pPr>
        <w:pStyle w:val="Heading2"/>
      </w:pPr>
      <w:r>
        <w:t xml:space="preserve">1. Define Scope</w:t>
      </w:r>
    </w:p>
    <w:p>
      <w:pPr>
        <w:pStyle w:val="FirstParagraph"/>
      </w:pPr>
      <w:r>
        <w:t xml:space="preserve">The initial phase of the PCF analysis establishes the boundaries and functional unit for consistent and accurate assessment.</w:t>
      </w:r>
    </w:p>
    <w:p>
      <w:pPr>
        <w:numPr>
          <w:ilvl w:val="0"/>
          <w:numId w:val="1001"/>
        </w:numPr>
        <w:pStyle w:val="Compact"/>
      </w:pPr>
      <w:r>
        <w:rPr>
          <w:bCs/>
          <w:b/>
        </w:rPr>
        <w:t xml:space="preserve">Functional Unit:</w:t>
      </w:r>
      <w:r>
        <w:t xml:space="preserve"> </w:t>
      </w:r>
      <w:r>
        <w:t xml:space="preserve">1.0 unit of kwznosmfkj.</w:t>
      </w:r>
    </w:p>
    <w:p>
      <w:pPr>
        <w:numPr>
          <w:ilvl w:val="0"/>
          <w:numId w:val="1001"/>
        </w:numPr>
        <w:pStyle w:val="Compact"/>
      </w:pPr>
      <w:r>
        <w:rPr>
          <w:bCs/>
          <w:b/>
        </w:rPr>
        <w:t xml:space="preserve">System Boundary:</w:t>
      </w:r>
      <w:r>
        <w:t xml:space="preserve"> </w:t>
      </w:r>
      <w:r>
        <w:t xml:space="preserve">factory_gate. This boundary includes emissions from material acquisition, pre-processing, and manufacturing up to the point the product leaves the factory gate, as well as downstream emissions from transportation, product use, and end-of-life.</w:t>
      </w:r>
    </w:p>
    <w:p>
      <w:pPr>
        <w:numPr>
          <w:ilvl w:val="0"/>
          <w:numId w:val="1001"/>
        </w:numPr>
        <w:pStyle w:val="Compact"/>
      </w:pPr>
      <w:r>
        <w:rPr>
          <w:bCs/>
          <w:b/>
        </w:rPr>
        <w:t xml:space="preserve">Geographic Scope:</w:t>
      </w:r>
    </w:p>
    <w:p>
      <w:pPr>
        <w:numPr>
          <w:ilvl w:val="1"/>
          <w:numId w:val="1002"/>
        </w:numPr>
        <w:pStyle w:val="Compact"/>
      </w:pPr>
      <w:r>
        <w:t xml:space="preserve">Final Production Country: China</w:t>
      </w:r>
    </w:p>
    <w:p>
      <w:pPr>
        <w:numPr>
          <w:ilvl w:val="1"/>
          <w:numId w:val="1002"/>
        </w:numPr>
        <w:pStyle w:val="Compact"/>
      </w:pPr>
      <w:r>
        <w:t xml:space="preserve">Supply Chain Focus: Europe Focused</w:t>
      </w:r>
    </w:p>
    <w:p>
      <w:pPr>
        <w:numPr>
          <w:ilvl w:val="0"/>
          <w:numId w:val="1001"/>
        </w:numPr>
        <w:pStyle w:val="Compact"/>
      </w:pPr>
      <w:r>
        <w:rPr>
          <w:bCs/>
          <w:b/>
        </w:rPr>
        <w:t xml:space="preserve">Allocation:</w:t>
      </w:r>
      <w:r>
        <w:t xml:space="preserve"> </w:t>
      </w:r>
      <w:r>
        <w:t xml:space="preserve">Emissions are allocated directly to the functional unit based on material quantities and energy consumption attributable to a single product unit.</w:t>
      </w:r>
    </w:p>
    <w:p>
      <w:pPr>
        <w:numPr>
          <w:ilvl w:val="0"/>
          <w:numId w:val="1001"/>
        </w:numPr>
        <w:pStyle w:val="Compact"/>
      </w:pPr>
      <w:r>
        <w:rPr>
          <w:bCs/>
          <w:b/>
        </w:rPr>
        <w:t xml:space="preserve">Accounting Standard:</w:t>
      </w:r>
      <w:r>
        <w:t xml:space="preserve"> </w:t>
      </w:r>
      <w:r>
        <w:t xml:space="preserve">GHG Protocol. This analysis specifically adheres to the GHG Protocol Product Standard for calculating the carbon footprint of products, incorporating relevant aspects of the Corporate Standard and Scope 3 Standard.</w:t>
      </w:r>
    </w:p>
    <w:p>
      <w:r>
        <w:pict>
          <v:rect style="width:0;height:1.5pt" o:hralign="center" o:hrstd="t" o:hr="t"/>
        </w:pict>
      </w:r>
    </w:p>
    <w:bookmarkEnd w:id="23"/>
    <w:bookmarkStart w:id="29" w:name="X668a29dea6996859d52024a913312988ccfa3c9"/>
    <w:p>
      <w:pPr>
        <w:pStyle w:val="Heading2"/>
      </w:pPr>
      <w:r>
        <w:t xml:space="preserve">2. Map Lifecycle (LCI Inventory Stages) &amp; 3. Collect Data</w:t>
      </w:r>
    </w:p>
    <w:p>
      <w:pPr>
        <w:pStyle w:val="FirstParagraph"/>
      </w:pPr>
      <w:r>
        <w:t xml:space="preserve">This section details the lifecycle stages considered and the data points collected for the analysis. The lifecycle mapping encompasses material acquisition, manufacturing, transportation, the use phase, and end-of-life scenarios.</w:t>
      </w:r>
    </w:p>
    <w:bookmarkStart w:id="24" w:name="X858c4f4fcafe765ddd4a82fd5419fef4a9bab5a"/>
    <w:p>
      <w:pPr>
        <w:pStyle w:val="Heading3"/>
      </w:pPr>
      <w:r>
        <w:t xml:space="preserve">Detailed Bill of Materials (BOM) Data (qezwfhds)</w:t>
      </w:r>
    </w:p>
    <w:p>
      <w:pPr>
        <w:pStyle w:val="FirstParagraph"/>
      </w:pPr>
      <w:r>
        <w:t xml:space="preserve">The material impact calculation is based on the provided detailed Bill of Materials (BOM). Emission factors used for materials reflect cradle-to-gate impacts, derived from industry-standard databases such as Ecoinvent or DEFRA, or provided directly.</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2.5</w:t>
            </w:r>
          </w:p>
        </w:tc>
        <w:tc>
          <w:tcPr/>
          <w:p>
            <w:pPr>
              <w:pStyle w:val="Compact"/>
              <w:jc w:val="left"/>
            </w:pPr>
            <w:r>
              <w:t xml:space="preserve">1.25</w:t>
            </w:r>
          </w:p>
        </w:tc>
      </w:tr>
      <w:tr>
        <w:tc>
          <w:tcPr/>
          <w:p>
            <w:pPr>
              <w:pStyle w:val="Compact"/>
              <w:jc w:val="left"/>
            </w:pPr>
            <w:r>
              <w:t xml:space="preserve">2</w:t>
            </w:r>
          </w:p>
        </w:tc>
        <w:tc>
          <w:tcPr/>
          <w:p>
            <w:pPr>
              <w:pStyle w:val="Compact"/>
              <w:jc w:val="left"/>
            </w:pPr>
            <w:r>
              <w:t xml:space="preserve">Plastic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3.0</w:t>
            </w:r>
          </w:p>
        </w:tc>
        <w:tc>
          <w:tcPr/>
          <w:p>
            <w:pPr>
              <w:pStyle w:val="Compact"/>
              <w:jc w:val="left"/>
            </w:pPr>
            <w:r>
              <w:t xml:space="preserve">0.90</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1.5</w:t>
            </w:r>
          </w:p>
        </w:tc>
        <w:tc>
          <w:tcPr/>
          <w:p>
            <w:pPr>
              <w:pStyle w:val="Compact"/>
              <w:jc w:val="left"/>
            </w:pPr>
            <w:r>
              <w:t xml:space="preserve">1.50</w:t>
            </w:r>
          </w:p>
        </w:tc>
      </w:tr>
      <w:tr>
        <w:tc>
          <w:tcPr/>
          <w:p>
            <w:pPr>
              <w:pStyle w:val="Compact"/>
              <w:jc w:val="left"/>
            </w:pPr>
            <w:r>
              <w:t xml:space="preserve">4</w:t>
            </w:r>
          </w:p>
        </w:tc>
        <w:tc>
          <w:tcPr/>
          <w:p>
            <w:pPr>
              <w:pStyle w:val="Compact"/>
              <w:jc w:val="left"/>
            </w:pPr>
            <w:r>
              <w:t xml:space="preserve">Wiring Harness</w:t>
            </w:r>
          </w:p>
        </w:tc>
        <w:tc>
          <w:tcPr/>
          <w:p>
            <w:pPr>
              <w:pStyle w:val="Compact"/>
              <w:jc w:val="left"/>
            </w:pPr>
            <w:r>
              <w:t xml:space="preserve">Metal/Plastic</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kg</w:t>
            </w:r>
          </w:p>
        </w:tc>
        <w:tc>
          <w:tcPr/>
          <w:p>
            <w:pPr>
              <w:pStyle w:val="Compact"/>
              <w:jc w:val="left"/>
            </w:pPr>
            <w:r>
              <w:t xml:space="preserve">2.0</w:t>
            </w:r>
          </w:p>
        </w:tc>
        <w:tc>
          <w:tcPr/>
          <w:p>
            <w:pPr>
              <w:pStyle w:val="Compact"/>
              <w:jc w:val="left"/>
            </w:pPr>
            <w:r>
              <w:t xml:space="preserve">0.20</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Production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0.8</w:t>
            </w:r>
          </w:p>
        </w:tc>
        <w:tc>
          <w:tcPr/>
          <w:p>
            <w:pPr>
              <w:pStyle w:val="Compact"/>
              <w:jc w:val="left"/>
            </w:pPr>
            <w:r>
              <w:t xml:space="preserve">0.16</w:t>
            </w:r>
          </w:p>
        </w:tc>
      </w:tr>
      <w:tr>
        <w:tc>
          <w:tcPr>
            <w:gridSpan w:val="7"/>
          </w:tcPr>
          <w:p>
            <w:pPr>
              <w:pStyle w:val="Compact"/>
              <w:jc w:val="right"/>
            </w:pPr>
            <w:r>
              <w:t xml:space="preserve">Total Material Acquisition &amp; Pre-processing Emissions (kgCO2e):</w:t>
            </w:r>
          </w:p>
        </w:tc>
        <w:tc>
          <w:tcPr/>
          <w:p>
            <w:pPr>
              <w:pStyle w:val="Compact"/>
              <w:jc w:val="left"/>
            </w:pPr>
            <w:r>
              <w:t xml:space="preserve">4.01</w:t>
            </w:r>
          </w:p>
        </w:tc>
      </w:tr>
    </w:tbl>
    <w:bookmarkEnd w:id="24"/>
    <w:bookmarkStart w:id="25" w:name="energy-inputs-production-phase"/>
    <w:p>
      <w:pPr>
        <w:pStyle w:val="Heading3"/>
      </w:pPr>
      <w:r>
        <w:t xml:space="preserve">Energy Inputs (Production Phase)</w:t>
      </w:r>
    </w:p>
    <w:p>
      <w:pPr>
        <w:numPr>
          <w:ilvl w:val="0"/>
          <w:numId w:val="1003"/>
        </w:numPr>
        <w:pStyle w:val="Compact"/>
      </w:pPr>
      <w:r>
        <w:rPr>
          <w:bCs/>
          <w:b/>
        </w:rPr>
        <w:t xml:space="preserve">Renewable Energy Usage (sydwfgdsqi):</w:t>
      </w:r>
      <w:r>
        <w:t xml:space="preserve"> </w:t>
      </w:r>
      <w:r>
        <w:t xml:space="preserve">75%</w:t>
      </w:r>
    </w:p>
    <w:p>
      <w:pPr>
        <w:numPr>
          <w:ilvl w:val="0"/>
          <w:numId w:val="1003"/>
        </w:numPr>
        <w:pStyle w:val="Compact"/>
      </w:pPr>
      <w:r>
        <w:rPr>
          <w:bCs/>
          <w:b/>
        </w:rPr>
        <w:t xml:space="preserve">Energy Intensity (kWh/unit) (mspnqdqjos):</w:t>
      </w:r>
      <w:r>
        <w:t xml:space="preserve"> </w:t>
      </w:r>
      <w:r>
        <w:t xml:space="preserve">20 kWh/unit</w:t>
      </w:r>
    </w:p>
    <w:p>
      <w:pPr>
        <w:numPr>
          <w:ilvl w:val="0"/>
          <w:numId w:val="1003"/>
        </w:numPr>
        <w:pStyle w:val="Compact"/>
      </w:pPr>
      <w:r>
        <w:rPr>
          <w:bCs/>
          <w:b/>
        </w:rPr>
        <w:t xml:space="preserve">Geographic Context:</w:t>
      </w:r>
      <w:r>
        <w:t xml:space="preserve"> </w:t>
      </w:r>
      <w:r>
        <w:t xml:space="preserve">China (for electricity grid mix).</w:t>
      </w:r>
    </w:p>
    <w:bookmarkEnd w:id="25"/>
    <w:bookmarkStart w:id="26" w:name="logistics-data-supply-chain"/>
    <w:p>
      <w:pPr>
        <w:pStyle w:val="Heading3"/>
      </w:pPr>
      <w:r>
        <w:t xml:space="preserve">Logistics Data (Supply Chain)</w:t>
      </w:r>
    </w:p>
    <w:p>
      <w:pPr>
        <w:numPr>
          <w:ilvl w:val="0"/>
          <w:numId w:val="1004"/>
        </w:numPr>
        <w:pStyle w:val="Compact"/>
      </w:pPr>
      <w:r>
        <w:rPr>
          <w:bCs/>
          <w:b/>
        </w:rPr>
        <w:t xml:space="preserve">Upstream/Factory-to-Distribution Transport Mode:</w:t>
      </w:r>
      <w:r>
        <w:t xml:space="preserve"> </w:t>
      </w:r>
      <w:r>
        <w:t xml:space="preserve">Road Freight (Heavy Goods Vehicle)</w:t>
      </w:r>
    </w:p>
    <w:p>
      <w:pPr>
        <w:numPr>
          <w:ilvl w:val="0"/>
          <w:numId w:val="1004"/>
        </w:numPr>
        <w:pStyle w:val="Compact"/>
      </w:pPr>
      <w:r>
        <w:rPr>
          <w:bCs/>
          <w:b/>
        </w:rPr>
        <w:t xml:space="preserve">Transport Distance (yhksyowwpp):</w:t>
      </w:r>
      <w:r>
        <w:t xml:space="preserve"> </w:t>
      </w:r>
      <w:r>
        <w:t xml:space="preserve">1500 km</w:t>
      </w:r>
    </w:p>
    <w:p>
      <w:pPr>
        <w:numPr>
          <w:ilvl w:val="0"/>
          <w:numId w:val="1004"/>
        </w:numPr>
        <w:pStyle w:val="Compact"/>
      </w:pPr>
      <w:r>
        <w:rPr>
          <w:bCs/>
          <w:b/>
        </w:rPr>
        <w:t xml:space="preserve">Last-Mile Delivery Channel (Delivery Type):</w:t>
      </w:r>
      <w:r>
        <w:t xml:space="preserve"> </w:t>
      </w:r>
      <w:r>
        <w:t xml:space="preserve">Light Commercial Vehicle</w:t>
      </w:r>
    </w:p>
    <w:bookmarkEnd w:id="26"/>
    <w:bookmarkStart w:id="27" w:name="use-phase-data"/>
    <w:p>
      <w:pPr>
        <w:pStyle w:val="Heading3"/>
      </w:pPr>
      <w:r>
        <w:t xml:space="preserve">Use Phase Data</w:t>
      </w:r>
    </w:p>
    <w:p>
      <w:pPr>
        <w:numPr>
          <w:ilvl w:val="0"/>
          <w:numId w:val="1005"/>
        </w:numPr>
        <w:pStyle w:val="Compact"/>
      </w:pPr>
      <w:r>
        <w:rPr>
          <w:bCs/>
          <w:b/>
        </w:rPr>
        <w:t xml:space="preserve">Product Lifespan (rhevdwwxgx):</w:t>
      </w:r>
      <w:r>
        <w:t xml:space="preserve"> </w:t>
      </w:r>
      <w:r>
        <w:t xml:space="preserve">5 years</w:t>
      </w:r>
    </w:p>
    <w:p>
      <w:pPr>
        <w:numPr>
          <w:ilvl w:val="0"/>
          <w:numId w:val="1005"/>
        </w:numPr>
        <w:pStyle w:val="Compact"/>
      </w:pPr>
      <w:r>
        <w:rPr>
          <w:bCs/>
          <w:b/>
        </w:rPr>
        <w:t xml:space="preserve">Energy Consumption in Use (ztvhjqyekp):</w:t>
      </w:r>
      <w:r>
        <w:t xml:space="preserve"> </w:t>
      </w:r>
      <w:r>
        <w:t xml:space="preserve">10 kWh/year</w:t>
      </w:r>
    </w:p>
    <w:bookmarkEnd w:id="27"/>
    <w:bookmarkStart w:id="28" w:name="end-of-life-eol-data"/>
    <w:p>
      <w:pPr>
        <w:pStyle w:val="Heading3"/>
      </w:pPr>
      <w:r>
        <w:t xml:space="preserve">End-of-Life (EoL) Data</w:t>
      </w:r>
    </w:p>
    <w:p>
      <w:pPr>
        <w:numPr>
          <w:ilvl w:val="0"/>
          <w:numId w:val="1006"/>
        </w:numPr>
        <w:pStyle w:val="Compact"/>
      </w:pPr>
      <w:r>
        <w:rPr>
          <w:bCs/>
          <w:b/>
        </w:rPr>
        <w:t xml:space="preserve">Recyclability Percentage (ejyvhdehgy):</w:t>
      </w:r>
      <w:r>
        <w:t xml:space="preserve"> </w:t>
      </w:r>
      <w:r>
        <w:t xml:space="preserve">80%</w:t>
      </w:r>
    </w:p>
    <w:p>
      <w:pPr>
        <w:numPr>
          <w:ilvl w:val="0"/>
          <w:numId w:val="1006"/>
        </w:numPr>
        <w:pStyle w:val="Compact"/>
      </w:pPr>
      <w:r>
        <w:rPr>
          <w:bCs/>
          <w:b/>
        </w:rPr>
        <w:t xml:space="preserve">Circular/Take-back Programs (jsztdxiggg):</w:t>
      </w:r>
      <w:r>
        <w:t xml:space="preserve"> </w:t>
      </w:r>
      <w:r>
        <w:t xml:space="preserve">Company-wide take-back and refurbishment program in Europe.</w:t>
      </w:r>
    </w:p>
    <w:p>
      <w:r>
        <w:pict>
          <v:rect style="width:0;height:1.5pt" o:hralign="center" o:hrstd="t" o:hr="t"/>
        </w:pict>
      </w:r>
    </w:p>
    <w:bookmarkEnd w:id="28"/>
    <w:bookmarkEnd w:id="29"/>
    <w:bookmarkStart w:id="42" w:name="Xb404f6bea4a0013006ec7a9103609d9ea6643c1"/>
    <w:p>
      <w:pPr>
        <w:pStyle w:val="Heading2"/>
      </w:pPr>
      <w:r>
        <w:t xml:space="preserve">4. Calculate Emissions (Activity * Emission Factor = CO2e)</w:t>
      </w:r>
    </w:p>
    <w:p>
      <w:pPr>
        <w:pStyle w:val="FirstParagraph"/>
      </w:pPr>
      <w:r>
        <w:t xml:space="preserve">Emissions are calculated for each stage of the product lifecycle, adhering to the GHG Protocol\'s categorization into Scope 1, Scope 2, and Scope 3.</w:t>
      </w:r>
    </w:p>
    <w:bookmarkStart w:id="30" w:name="ghg-protocol-categorization"/>
    <w:p>
      <w:pPr>
        <w:pStyle w:val="Heading3"/>
      </w:pPr>
      <w:r>
        <w:t xml:space="preserve">GHG Protocol Categorization</w:t>
      </w:r>
    </w:p>
    <w:p>
      <w:pPr>
        <w:numPr>
          <w:ilvl w:val="0"/>
          <w:numId w:val="1007"/>
        </w:numPr>
        <w:pStyle w:val="Compact"/>
      </w:pPr>
      <w:r>
        <w:rPr>
          <w:bCs/>
          <w:b/>
        </w:rPr>
        <w:t xml:space="preserve">Scope 1 (Direct Emissions):</w:t>
      </w:r>
      <w:r>
        <w:t xml:space="preserve"> </w:t>
      </w:r>
      <w:r>
        <w:t xml:space="preserve">Emissions from sources owned or controlled by kfnpuwxxle (e.g., on-site fuel combustion). For this analysis, direct manufacturing emissions not related to electricity are assumed negligible or implicitly covered by other factors due to the parameters provided.</w:t>
      </w:r>
    </w:p>
    <w:p>
      <w:pPr>
        <w:numPr>
          <w:ilvl w:val="0"/>
          <w:numId w:val="1007"/>
        </w:numPr>
        <w:pStyle w:val="Compact"/>
      </w:pPr>
      <w:r>
        <w:rPr>
          <w:bCs/>
          <w:b/>
        </w:rPr>
        <w:t xml:space="preserve">Scope 2 (Indirect Emissions from Purchased Energy):</w:t>
      </w:r>
      <w:r>
        <w:t xml:space="preserve"> </w:t>
      </w:r>
      <w:r>
        <w:t xml:space="preserve">Emissions from the generation of purchased electricity, steam, heating, and cooling consumed by kfnpuwxxle.</w:t>
      </w:r>
    </w:p>
    <w:p>
      <w:pPr>
        <w:numPr>
          <w:ilvl w:val="0"/>
          <w:numId w:val="1007"/>
        </w:numPr>
        <w:pStyle w:val="Compact"/>
      </w:pPr>
      <w:r>
        <w:rPr>
          <w:bCs/>
          <w:b/>
        </w:rPr>
        <w:t xml:space="preserve">Scope 3 (Other Indirect Emissions - Value Chain):</w:t>
      </w:r>
      <w:r>
        <w:t xml:space="preserve"> </w:t>
      </w:r>
      <w:r>
        <w:t xml:space="preserve">All other indirect emissions occurring in the value chain, both upstream and downstream. This analysis focuses on categories directly supported by the provided parameters.</w:t>
      </w:r>
    </w:p>
    <w:bookmarkEnd w:id="30"/>
    <w:bookmarkStart w:id="31" w:name="lsr-update-application"/>
    <w:p>
      <w:pPr>
        <w:pStyle w:val="Heading3"/>
      </w:pPr>
      <w:r>
        <w:t xml:space="preserve">2026 LSR UPDATE Application</w:t>
      </w:r>
    </w:p>
    <w:p>
      <w:pPr>
        <w:pStyle w:val="FirstParagraph"/>
      </w:pPr>
      <w:r>
        <w:t xml:space="preserve">The Land Sector and Removals (LSR) Standard, effective January 1, 2027, is considered in this report, particularly regarding carbon removals. While kwznosmfkj\'s primary activities are not land-intensive, the LSR Standard\'s principles are relevant for accounting for carbon removal benefits from activities such as recycling at End-of-Life, strengthening the rigor of negative emissions reporting.</w:t>
      </w:r>
    </w:p>
    <w:bookmarkEnd w:id="31"/>
    <w:bookmarkStart w:id="32" w:name="emission-factors-used-industry-standard"/>
    <w:p>
      <w:pPr>
        <w:pStyle w:val="Heading3"/>
      </w:pPr>
      <w:r>
        <w:t xml:space="preserve">Emission Factors Used (Industry Standard)</w:t>
      </w:r>
    </w:p>
    <w:p>
      <w:pPr>
        <w:pStyle w:val="FirstParagraph"/>
      </w:pPr>
      <w:r>
        <w:t xml:space="preserve">Emission factors are primarily drawn from industry-standard databases such as Ecoinvent and DEFRA/BEIS, representing average conditions for the specified regions and activities.</w:t>
      </w:r>
    </w:p>
    <w:bookmarkEnd w:id="32"/>
    <w:bookmarkStart w:id="38" w:name="detailed-emissions-calculation"/>
    <w:p>
      <w:pPr>
        <w:pStyle w:val="Heading3"/>
      </w:pPr>
      <w:r>
        <w:t xml:space="preserve">Detailed Emissions Calculation</w:t>
      </w:r>
    </w:p>
    <w:bookmarkStart w:id="33" w:name="Xa5ffd2996d5c32a439c6a71082e3d5c20726fbd"/>
    <w:p>
      <w:pPr>
        <w:pStyle w:val="Heading4"/>
      </w:pPr>
      <w:r>
        <w:t xml:space="preserve">A. Material Acquisition &amp; Pre-processing (Scope 3, Category 1)</w:t>
      </w:r>
    </w:p>
    <w:p>
      <w:pPr>
        <w:pStyle w:val="FirstParagraph"/>
      </w:pPr>
      <w:r>
        <w:t xml:space="preserve">Emissions are directly taken from the \'Total Carbon\' column of the Detailed Bill of Materials (BOM) provided. This represents the upstream emissions associated with the extraction, production, and initial transportation of raw materials and components.</w:t>
      </w:r>
    </w:p>
    <w:p>
      <w:pPr>
        <w:numPr>
          <w:ilvl w:val="0"/>
          <w:numId w:val="1008"/>
        </w:numPr>
        <w:pStyle w:val="Compact"/>
      </w:pPr>
      <w:r>
        <w:rPr>
          <w:bCs/>
          <w:b/>
        </w:rPr>
        <w:t xml:space="preserve">Total Material Emissions:</w:t>
      </w:r>
      <w:r>
        <w:t xml:space="preserve"> </w:t>
      </w:r>
      <w:r>
        <w:t xml:space="preserve">4.01 kg CO2e</w:t>
      </w:r>
    </w:p>
    <w:bookmarkEnd w:id="33"/>
    <w:bookmarkStart w:id="34" w:name="b.-manufacturing-emissions-scope-2"/>
    <w:p>
      <w:pPr>
        <w:pStyle w:val="Heading4"/>
      </w:pPr>
      <w:r>
        <w:t xml:space="preserve">B. Manufacturing Emissions (Scope 2)</w:t>
      </w:r>
    </w:p>
    <w:p>
      <w:pPr>
        <w:pStyle w:val="FirstParagraph"/>
      </w:pPr>
      <w:r>
        <w:t xml:space="preserve">The production phase consumes electricity, for which emissions are calculated based on the energy intensity, renewable energy usage, and the electricity grid mix of China.</w:t>
      </w:r>
    </w:p>
    <w:p>
      <w:pPr>
        <w:numPr>
          <w:ilvl w:val="0"/>
          <w:numId w:val="1009"/>
        </w:numPr>
        <w:pStyle w:val="Compact"/>
      </w:pPr>
      <w:r>
        <w:t xml:space="preserve">Energy Intensity: 20 kWh/unit</w:t>
      </w:r>
    </w:p>
    <w:p>
      <w:pPr>
        <w:numPr>
          <w:ilvl w:val="0"/>
          <w:numId w:val="1009"/>
        </w:numPr>
        <w:pStyle w:val="Compact"/>
      </w:pPr>
      <w:r>
        <w:t xml:space="preserve">Non-renewable electricity consumption: 20 kWh/unit * (1 - 0.75 renewable usage) = 5 kWh/unit</w:t>
      </w:r>
    </w:p>
    <w:p>
      <w:pPr>
        <w:numPr>
          <w:ilvl w:val="0"/>
          <w:numId w:val="1009"/>
        </w:numPr>
        <w:pStyle w:val="Compact"/>
      </w:pPr>
      <w:r>
        <w:t xml:space="preserve">China Grid Emission Factor (average, assumed Ecoinvent/IGES): 0.6 kg CO2e/kWh</w:t>
      </w:r>
    </w:p>
    <w:p>
      <w:pPr>
        <w:numPr>
          <w:ilvl w:val="0"/>
          <w:numId w:val="1009"/>
        </w:numPr>
        <w:pStyle w:val="Compact"/>
      </w:pPr>
      <w:r>
        <w:rPr>
          <w:bCs/>
          <w:b/>
        </w:rPr>
        <w:t xml:space="preserve">Manufacturing Electricity Emissions (Scope 2):</w:t>
      </w:r>
      <w:r>
        <w:t xml:space="preserve"> </w:t>
      </w:r>
      <w:r>
        <w:t xml:space="preserve">5 kWh/unit * 0.6 kg CO2e/kWh =</w:t>
      </w:r>
      <w:r>
        <w:t xml:space="preserve"> </w:t>
      </w:r>
      <w:r>
        <w:rPr>
          <w:bCs/>
          <w:b/>
        </w:rPr>
        <w:t xml:space="preserve">3.0 kg CO2e/unit</w:t>
      </w:r>
    </w:p>
    <w:p>
      <w:pPr>
        <w:numPr>
          <w:ilvl w:val="0"/>
          <w:numId w:val="1009"/>
        </w:numPr>
        <w:pStyle w:val="Compact"/>
      </w:pPr>
      <w:r>
        <w:rPr>
          <w:bCs/>
          <w:b/>
        </w:rPr>
        <w:t xml:space="preserve">Scope 1 Emissions:</w:t>
      </w:r>
      <w:r>
        <w:t xml:space="preserve"> </w:t>
      </w:r>
      <w:r>
        <w:t xml:space="preserve">Assumed to be 0.0 kg CO2e/unit as direct fuel combustion data was not provided and is considered negligible for the primary manufacturing energy footprint compared to electricity.</w:t>
      </w:r>
    </w:p>
    <w:bookmarkEnd w:id="34"/>
    <w:bookmarkStart w:id="35" w:name="X3a1de5b90e5d7ae2ba1a93a40fe3bea8a58c526"/>
    <w:p>
      <w:pPr>
        <w:pStyle w:val="Heading4"/>
      </w:pPr>
      <w:r>
        <w:t xml:space="preserve">C. Transport Emissions (Scope 3, Category 4 &amp; 9)</w:t>
      </w:r>
    </w:p>
    <w:p>
      <w:pPr>
        <w:pStyle w:val="FirstParagraph"/>
      </w:pPr>
      <w:r>
        <w:t xml:space="preserve">This includes both upstream transport of components to the factory and downstream last-mile delivery to the customer.</w:t>
      </w:r>
    </w:p>
    <w:p>
      <w:pPr>
        <w:numPr>
          <w:ilvl w:val="0"/>
          <w:numId w:val="1010"/>
        </w:numPr>
        <w:pStyle w:val="Compact"/>
      </w:pPr>
      <w:r>
        <w:t xml:space="preserve">Total physical product mass (excluding circuit board EF, for transport modeling): 0.5 kg (Aluminum) + 0.3 kg (Plastic) + 0.1 kg (Wiring) + 0.2 kg (Packaging) = 1.1 kg.</w:t>
      </w:r>
    </w:p>
    <w:p>
      <w:pPr>
        <w:numPr>
          <w:ilvl w:val="0"/>
          <w:numId w:val="1010"/>
        </w:numPr>
        <w:pStyle w:val="Compact"/>
      </w:pPr>
      <w:r>
        <w:rPr>
          <w:bCs/>
          <w:b/>
        </w:rPr>
        <w:t xml:space="preserve">Upstream Transport (Components to Factory):</w:t>
      </w:r>
    </w:p>
    <w:p>
      <w:pPr>
        <w:numPr>
          <w:ilvl w:val="1"/>
          <w:numId w:val="1011"/>
        </w:numPr>
        <w:pStyle w:val="Compact"/>
      </w:pPr>
      <w:r>
        <w:t xml:space="preserve">Transport Mode: Road Freight (Heavy Goods Vehicle)</w:t>
      </w:r>
    </w:p>
    <w:p>
      <w:pPr>
        <w:numPr>
          <w:ilvl w:val="1"/>
          <w:numId w:val="1011"/>
        </w:numPr>
        <w:pStyle w:val="Compact"/>
      </w:pPr>
      <w:r>
        <w:t xml:space="preserve">Transport Distance: 1500 km</w:t>
      </w:r>
    </w:p>
    <w:p>
      <w:pPr>
        <w:numPr>
          <w:ilvl w:val="1"/>
          <w:numId w:val="1011"/>
        </w:numPr>
        <w:pStyle w:val="Compact"/>
      </w:pPr>
      <w:r>
        <w:t xml:space="preserve">Emission Factor (assumed EU road freight, average DEFRA/Ecoinvent): 0.08 kg CO2e/tkm (tonne-kilometer)</w:t>
      </w:r>
    </w:p>
    <w:p>
      <w:pPr>
        <w:numPr>
          <w:ilvl w:val="1"/>
          <w:numId w:val="1011"/>
        </w:numPr>
        <w:pStyle w:val="Compact"/>
      </w:pPr>
      <w:r>
        <w:t xml:space="preserve">Calculation: 1.1 kg * (1 ton / 1000 kg) * 1500 km * 0.08 kg CO2e/tkm =</w:t>
      </w:r>
      <w:r>
        <w:t xml:space="preserve"> </w:t>
      </w:r>
      <w:r>
        <w:rPr>
          <w:bCs/>
          <w:b/>
        </w:rPr>
        <w:t xml:space="preserve">0.132 kg CO2e/unit</w:t>
      </w:r>
    </w:p>
    <w:p>
      <w:pPr>
        <w:numPr>
          <w:ilvl w:val="0"/>
          <w:numId w:val="1010"/>
        </w:numPr>
        <w:pStyle w:val="Compact"/>
      </w:pPr>
      <w:r>
        <w:rPr>
          <w:bCs/>
          <w:b/>
        </w:rPr>
        <w:t xml:space="preserve">Last-Mile Delivery (Factory to Customer):</w:t>
      </w:r>
    </w:p>
    <w:p>
      <w:pPr>
        <w:numPr>
          <w:ilvl w:val="1"/>
          <w:numId w:val="1012"/>
        </w:numPr>
        <w:pStyle w:val="Compact"/>
      </w:pPr>
      <w:r>
        <w:t xml:space="preserve">Delivery Channel: Light Commercial Vehicle</w:t>
      </w:r>
    </w:p>
    <w:p>
      <w:pPr>
        <w:numPr>
          <w:ilvl w:val="1"/>
          <w:numId w:val="1012"/>
        </w:numPr>
        <w:pStyle w:val="Compact"/>
      </w:pPr>
      <w:r>
        <w:t xml:space="preserve">Emission Factor (assumed simplified unit-based factor for last-mile delivery, without specific distance/mass): 0.5 kg CO2e/unit</w:t>
      </w:r>
    </w:p>
    <w:p>
      <w:pPr>
        <w:numPr>
          <w:ilvl w:val="1"/>
          <w:numId w:val="1012"/>
        </w:numPr>
        <w:pStyle w:val="Compact"/>
      </w:pPr>
      <w:r>
        <w:t xml:space="preserve">Calculation:</w:t>
      </w:r>
      <w:r>
        <w:t xml:space="preserve"> </w:t>
      </w:r>
      <w:r>
        <w:rPr>
          <w:bCs/>
          <w:b/>
        </w:rPr>
        <w:t xml:space="preserve">0.5 kg CO2e/unit</w:t>
      </w:r>
    </w:p>
    <w:p>
      <w:pPr>
        <w:numPr>
          <w:ilvl w:val="0"/>
          <w:numId w:val="1010"/>
        </w:numPr>
        <w:pStyle w:val="Compact"/>
      </w:pPr>
      <w:r>
        <w:rPr>
          <w:bCs/>
          <w:b/>
        </w:rPr>
        <w:t xml:space="preserve">Total Transport Emissions (Scope 3):</w:t>
      </w:r>
      <w:r>
        <w:t xml:space="preserve"> </w:t>
      </w:r>
      <w:r>
        <w:t xml:space="preserve">0.132 + 0.5 =</w:t>
      </w:r>
      <w:r>
        <w:t xml:space="preserve"> </w:t>
      </w:r>
      <w:r>
        <w:rPr>
          <w:bCs/>
          <w:b/>
        </w:rPr>
        <w:t xml:space="preserve">0.632 kg CO2e/unit</w:t>
      </w:r>
    </w:p>
    <w:bookmarkEnd w:id="35"/>
    <w:bookmarkStart w:id="36" w:name="Xd8fa9b9eb1c4e26ddbf9c4a6dd00ae45dbecaf5"/>
    <w:p>
      <w:pPr>
        <w:pStyle w:val="Heading4"/>
      </w:pPr>
      <w:r>
        <w:t xml:space="preserve">D. Use Phase Emissions (Scope 3, Category 11)</w:t>
      </w:r>
    </w:p>
    <w:p>
      <w:pPr>
        <w:pStyle w:val="FirstParagraph"/>
      </w:pPr>
      <w:r>
        <w:t xml:space="preserve">Emissions during the product\'s lifespan, primarily from electricity consumption.</w:t>
      </w:r>
    </w:p>
    <w:p>
      <w:pPr>
        <w:numPr>
          <w:ilvl w:val="0"/>
          <w:numId w:val="1013"/>
        </w:numPr>
        <w:pStyle w:val="Compact"/>
      </w:pPr>
      <w:r>
        <w:t xml:space="preserve">Product Lifespan: 5 years</w:t>
      </w:r>
    </w:p>
    <w:p>
      <w:pPr>
        <w:numPr>
          <w:ilvl w:val="0"/>
          <w:numId w:val="1013"/>
        </w:numPr>
        <w:pStyle w:val="Compact"/>
      </w:pPr>
      <w:r>
        <w:t xml:space="preserve">Energy Consumption in Use: 10 kWh/year</w:t>
      </w:r>
    </w:p>
    <w:p>
      <w:pPr>
        <w:numPr>
          <w:ilvl w:val="0"/>
          <w:numId w:val="1013"/>
        </w:numPr>
        <w:pStyle w:val="Compact"/>
      </w:pPr>
      <w:r>
        <w:t xml:space="preserve">Total energy consumption over lifespan: 10 kWh/year * 5 years = 50 kWh</w:t>
      </w:r>
    </w:p>
    <w:p>
      <w:pPr>
        <w:numPr>
          <w:ilvl w:val="0"/>
          <w:numId w:val="1013"/>
        </w:numPr>
        <w:pStyle w:val="Compact"/>
      </w:pPr>
      <w:r>
        <w:t xml:space="preserve">Average Electricity Grid Emission Factor (assumed for European market, e.g., 0.3 kg CO2e/kWh): 0.3 kg CO2e/kWh</w:t>
      </w:r>
    </w:p>
    <w:p>
      <w:pPr>
        <w:numPr>
          <w:ilvl w:val="0"/>
          <w:numId w:val="1013"/>
        </w:numPr>
        <w:pStyle w:val="Compact"/>
      </w:pPr>
      <w:r>
        <w:rPr>
          <w:bCs/>
          <w:b/>
        </w:rPr>
        <w:t xml:space="preserve">Use Phase Emissions (Scope 3):</w:t>
      </w:r>
      <w:r>
        <w:t xml:space="preserve"> </w:t>
      </w:r>
      <w:r>
        <w:t xml:space="preserve">50 kWh * 0.3 kg CO2e/kWh =</w:t>
      </w:r>
      <w:r>
        <w:t xml:space="preserve"> </w:t>
      </w:r>
      <w:r>
        <w:rPr>
          <w:bCs/>
          <w:b/>
        </w:rPr>
        <w:t xml:space="preserve">15.0 kg CO2e/unit</w:t>
      </w:r>
    </w:p>
    <w:bookmarkEnd w:id="36"/>
    <w:bookmarkStart w:id="37" w:name="X8e6e61f5b272e5cb29d4d2752751285391e2fdb"/>
    <w:p>
      <w:pPr>
        <w:pStyle w:val="Heading4"/>
      </w:pPr>
      <w:r>
        <w:t xml:space="preserve">E. End-of-Life (EoL) Emissions (Scope 3, Category 12)</w:t>
      </w:r>
    </w:p>
    <w:p>
      <w:pPr>
        <w:pStyle w:val="FirstParagraph"/>
      </w:pPr>
      <w:r>
        <w:t xml:space="preserve">Impacts from recycling and disposal, considering circular economy programs.</w:t>
      </w:r>
    </w:p>
    <w:p>
      <w:pPr>
        <w:numPr>
          <w:ilvl w:val="0"/>
          <w:numId w:val="1014"/>
        </w:numPr>
        <w:pStyle w:val="Compact"/>
      </w:pPr>
      <w:r>
        <w:t xml:space="preserve">Recyclability Percentage: 80%</w:t>
      </w:r>
    </w:p>
    <w:p>
      <w:pPr>
        <w:numPr>
          <w:ilvl w:val="0"/>
          <w:numId w:val="1014"/>
        </w:numPr>
        <w:pStyle w:val="Compact"/>
      </w:pPr>
      <w:r>
        <w:t xml:space="preserve">Total product mass (for EoL): 1.1 kg</w:t>
      </w:r>
    </w:p>
    <w:p>
      <w:pPr>
        <w:numPr>
          <w:ilvl w:val="0"/>
          <w:numId w:val="1014"/>
        </w:numPr>
        <w:pStyle w:val="Compact"/>
      </w:pPr>
      <w:r>
        <w:t xml:space="preserve">Recycled portion: 1.1 kg * 0.80 = 0.88 kg</w:t>
      </w:r>
    </w:p>
    <w:p>
      <w:pPr>
        <w:numPr>
          <w:ilvl w:val="0"/>
          <w:numId w:val="1014"/>
        </w:numPr>
        <w:pStyle w:val="Compact"/>
      </w:pPr>
      <w:r>
        <w:t xml:space="preserve">Disposed portion: 1.1 kg * 0.20 = 0.22 kg</w:t>
      </w:r>
    </w:p>
    <w:p>
      <w:pPr>
        <w:numPr>
          <w:ilvl w:val="0"/>
          <w:numId w:val="1014"/>
        </w:numPr>
        <w:pStyle w:val="Compact"/>
      </w:pPr>
      <w:r>
        <w:t xml:space="preserve">Recycling Credit (assumed average for mixed materials, acknowledging LSR for removals): -0.8 kg CO2e/kg</w:t>
      </w:r>
    </w:p>
    <w:p>
      <w:pPr>
        <w:numPr>
          <w:ilvl w:val="0"/>
          <w:numId w:val="1014"/>
        </w:numPr>
        <w:pStyle w:val="Compact"/>
      </w:pPr>
      <w:r>
        <w:t xml:space="preserve">Disposal Emission (assumed average for landfill): 0.2 kg CO2e/kg</w:t>
      </w:r>
    </w:p>
    <w:p>
      <w:pPr>
        <w:numPr>
          <w:ilvl w:val="0"/>
          <w:numId w:val="1014"/>
        </w:numPr>
        <w:pStyle w:val="Compact"/>
      </w:pPr>
      <w:r>
        <w:t xml:space="preserve">Recycling Credit: 0.88 kg * -0.8 kg CO2e/kg = -0.704 kg CO2e</w:t>
      </w:r>
    </w:p>
    <w:p>
      <w:pPr>
        <w:numPr>
          <w:ilvl w:val="0"/>
          <w:numId w:val="1014"/>
        </w:numPr>
        <w:pStyle w:val="Compact"/>
      </w:pPr>
      <w:r>
        <w:t xml:space="preserve">Disposal Emissions: 0.22 kg * 0.2 kg CO2e/kg = 0.044 kg CO2e</w:t>
      </w:r>
    </w:p>
    <w:p>
      <w:pPr>
        <w:numPr>
          <w:ilvl w:val="0"/>
          <w:numId w:val="1014"/>
        </w:numPr>
        <w:pStyle w:val="Compact"/>
      </w:pPr>
      <w:r>
        <w:rPr>
          <w:bCs/>
          <w:b/>
        </w:rPr>
        <w:t xml:space="preserve">Net End-of-Life Emissions (Scope 3):</w:t>
      </w:r>
      <w:r>
        <w:t xml:space="preserve"> </w:t>
      </w:r>
      <w:r>
        <w:t xml:space="preserve">-0.704 + 0.044 =</w:t>
      </w:r>
      <w:r>
        <w:t xml:space="preserve"> </w:t>
      </w:r>
      <w:r>
        <w:rPr>
          <w:bCs/>
          <w:b/>
        </w:rPr>
        <w:t xml:space="preserve">-0.66 kg CO2e/unit</w:t>
      </w:r>
    </w:p>
    <w:p>
      <w:pPr>
        <w:numPr>
          <w:ilvl w:val="0"/>
          <w:numId w:val="1014"/>
        </w:numPr>
        <w:pStyle w:val="Compact"/>
      </w:pPr>
      <w:r>
        <w:rPr>
          <w:bCs/>
          <w:b/>
        </w:rPr>
        <w:t xml:space="preserve">Circular/Take-back Programs:</w:t>
      </w:r>
      <w:r>
        <w:t xml:space="preserve"> </w:t>
      </w:r>
      <w:r>
        <w:t xml:space="preserve">The "Company-wide take-back and refurbishment program in Europe" (jsztdxiggg) further enhances circularity, potentially extending product lifespans and increasing actual recycling/repurposing rates, leading to avoided emissions beyond generic recycling credits.</w:t>
      </w:r>
    </w:p>
    <w:bookmarkEnd w:id="37"/>
    <w:bookmarkEnd w:id="38"/>
    <w:bookmarkStart w:id="39" w:name="total-product-carbon-footprint"/>
    <w:p>
      <w:pPr>
        <w:pStyle w:val="Heading3"/>
      </w:pPr>
      <w:r>
        <w:t xml:space="preserve">Total Product Carbon Footprint</w:t>
      </w:r>
    </w:p>
    <w:p>
      <w:pPr>
        <w:pStyle w:val="FirstParagraph"/>
      </w:pPr>
      <w:r>
        <w:t xml:space="preserve">The sum of emissions across all lifecycle stages:</w:t>
      </w:r>
    </w:p>
    <w:p>
      <w:pPr>
        <w:pStyle w:val="BodyText"/>
      </w:pPr>
      <w:r>
        <w:t xml:space="preserve">Total PCF = Material + Manufacturing + Transport + Use Phase + End-of-Life</w:t>
      </w:r>
    </w:p>
    <w:p>
      <w:pPr>
        <w:pStyle w:val="BodyText"/>
      </w:pPr>
      <w:r>
        <w:t xml:space="preserve">Total PCF = 4.01 kg CO2e + 3.0 kg CO2e + 0.632 kg CO2e + 15.0 kg CO2e - 0.66 kg CO2e</w:t>
      </w:r>
    </w:p>
    <w:p>
      <w:pPr>
        <w:pStyle w:val="BodyText"/>
      </w:pPr>
      <w:r>
        <w:rPr>
          <w:bCs/>
          <w:b/>
        </w:rPr>
        <w:t xml:space="preserve">Total PCF = 21.982 kg CO2e per 1.0 unit of kwznosmfkj</w:t>
      </w:r>
    </w:p>
    <w:bookmarkEnd w:id="39"/>
    <w:bookmarkStart w:id="40" w:name="ghg-emissions-by-scope"/>
    <w:p>
      <w:pPr>
        <w:pStyle w:val="Heading3"/>
      </w:pPr>
      <w:r>
        <w:t xml:space="preserve">GHG Emissions by Scope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Scope</w:t>
            </w:r>
          </w:p>
        </w:tc>
        <w:tc>
          <w:tcPr/>
          <w:p>
            <w:pPr>
              <w:pStyle w:val="Compact"/>
              <w:jc w:val="left"/>
            </w:pPr>
            <w:r>
              <w:t xml:space="preserve">Emissions (kg CO2e/unit)</w:t>
            </w:r>
          </w:p>
        </w:tc>
        <w:tc>
          <w:tcPr/>
          <w:p>
            <w:pPr>
              <w:pStyle w:val="Compact"/>
              <w:jc w:val="left"/>
            </w:pPr>
            <w:r>
              <w:t xml:space="preserve">Description</w:t>
            </w:r>
          </w:p>
        </w:tc>
      </w:tr>
      <w:tr>
        <w:tc>
          <w:tcPr/>
          <w:p>
            <w:pPr>
              <w:pStyle w:val="Compact"/>
              <w:jc w:val="left"/>
            </w:pPr>
            <w:r>
              <w:t xml:space="preserve">Scope 1</w:t>
            </w:r>
          </w:p>
        </w:tc>
        <w:tc>
          <w:tcPr/>
          <w:p>
            <w:pPr>
              <w:pStyle w:val="Compact"/>
              <w:jc w:val="left"/>
            </w:pPr>
            <w:r>
              <w:t xml:space="preserve">0.000</w:t>
            </w:r>
          </w:p>
        </w:tc>
        <w:tc>
          <w:tcPr/>
          <w:p>
            <w:pPr>
              <w:pStyle w:val="Compact"/>
              <w:jc w:val="left"/>
            </w:pPr>
            <w:r>
              <w:t xml:space="preserve">Direct emissions (assumed negligible/not specified for manufacturing).</w:t>
            </w:r>
          </w:p>
        </w:tc>
      </w:tr>
      <w:tr>
        <w:tc>
          <w:tcPr/>
          <w:p>
            <w:pPr>
              <w:pStyle w:val="Compact"/>
              <w:jc w:val="left"/>
            </w:pPr>
            <w:r>
              <w:t xml:space="preserve">Scope 2</w:t>
            </w:r>
          </w:p>
        </w:tc>
        <w:tc>
          <w:tcPr/>
          <w:p>
            <w:pPr>
              <w:pStyle w:val="Compact"/>
              <w:jc w:val="left"/>
            </w:pPr>
            <w:r>
              <w:t xml:space="preserve">3.000</w:t>
            </w:r>
          </w:p>
        </w:tc>
        <w:tc>
          <w:tcPr/>
          <w:p>
            <w:pPr>
              <w:pStyle w:val="Compact"/>
              <w:jc w:val="left"/>
            </w:pPr>
            <w:r>
              <w:t xml:space="preserve">Purchased electricity for manufacturing.</w:t>
            </w:r>
          </w:p>
        </w:tc>
      </w:tr>
      <w:tr>
        <w:tc>
          <w:tcPr/>
          <w:p>
            <w:pPr>
              <w:pStyle w:val="Compact"/>
              <w:jc w:val="left"/>
            </w:pPr>
            <w:r>
              <w:t xml:space="preserve">Scope 3</w:t>
            </w:r>
          </w:p>
        </w:tc>
        <w:tc>
          <w:tcPr/>
          <w:p>
            <w:pPr>
              <w:pStyle w:val="Compact"/>
              <w:jc w:val="left"/>
            </w:pPr>
            <w:r>
              <w:t xml:space="preserve">18.982</w:t>
            </w:r>
          </w:p>
        </w:tc>
        <w:tc>
          <w:tcPr/>
          <w:p>
            <w:pPr>
              <w:pStyle w:val="Compact"/>
              <w:jc w:val="left"/>
            </w:pPr>
            <w:r>
              <w:t xml:space="preserve">Upstream (materials, transport) &amp; Downstream (transport, use phase, EoL).</w:t>
            </w:r>
          </w:p>
        </w:tc>
      </w:tr>
      <w:tr>
        <w:tc>
          <w:tcPr/>
          <w:p>
            <w:pPr>
              <w:pStyle w:val="Compact"/>
              <w:jc w:val="left"/>
            </w:pPr>
            <w:r>
              <w:rPr>
                <w:bCs/>
                <w:b/>
              </w:rPr>
              <w:t xml:space="preserve">Total PCF</w:t>
            </w:r>
          </w:p>
        </w:tc>
        <w:tc>
          <w:tcPr/>
          <w:p>
            <w:pPr>
              <w:pStyle w:val="Compact"/>
              <w:jc w:val="left"/>
            </w:pPr>
            <w:r>
              <w:rPr>
                <w:bCs/>
                <w:b/>
              </w:rPr>
              <w:t xml:space="preserve">21.982</w:t>
            </w:r>
          </w:p>
        </w:tc>
        <w:tc>
          <w:tcPr/>
          <w:p>
            <w:pPr>
              <w:pStyle w:val="Compact"/>
            </w:pPr>
          </w:p>
        </w:tc>
      </w:tr>
    </w:tbl>
    <w:bookmarkEnd w:id="40"/>
    <w:bookmarkStart w:id="41" w:name="scope-3-compliance-2026-requirements"/>
    <w:p>
      <w:pPr>
        <w:pStyle w:val="Heading3"/>
      </w:pPr>
      <w:r>
        <w:t xml:space="preserve">Scope 3 Compliance (2026 Requirements)</w:t>
      </w:r>
    </w:p>
    <w:p>
      <w:pPr>
        <w:pStyle w:val="FirstParagraph"/>
      </w:pPr>
      <w:r>
        <w:t xml:space="preserve">GHG Protocol 2026 requirements emphasize comprehensive Scope 3 reporting, aiming for at least 95% coverage.</w:t>
      </w:r>
    </w:p>
    <w:p>
      <w:pPr>
        <w:pStyle w:val="BodyText"/>
      </w:pPr>
      <w:r>
        <w:t xml:space="preserve">Based on the provided parameters, the following Scope 3 categories have been addressed:</w:t>
      </w:r>
    </w:p>
    <w:p>
      <w:pPr>
        <w:numPr>
          <w:ilvl w:val="0"/>
          <w:numId w:val="1015"/>
        </w:numPr>
        <w:pStyle w:val="Compact"/>
      </w:pPr>
      <w:r>
        <w:t xml:space="preserve">Category 1: Purchased goods and services (Materials)</w:t>
      </w:r>
    </w:p>
    <w:p>
      <w:pPr>
        <w:numPr>
          <w:ilvl w:val="0"/>
          <w:numId w:val="1015"/>
        </w:numPr>
        <w:pStyle w:val="Compact"/>
      </w:pPr>
      <w:r>
        <w:t xml:space="preserve">Category 4: Upstream transportation and distribution</w:t>
      </w:r>
    </w:p>
    <w:p>
      <w:pPr>
        <w:numPr>
          <w:ilvl w:val="0"/>
          <w:numId w:val="1015"/>
        </w:numPr>
        <w:pStyle w:val="Compact"/>
      </w:pPr>
      <w:r>
        <w:t xml:space="preserve">Category 9: Downstream transportation and distribution (Last-Mile Delivery)</w:t>
      </w:r>
    </w:p>
    <w:p>
      <w:pPr>
        <w:numPr>
          <w:ilvl w:val="0"/>
          <w:numId w:val="1015"/>
        </w:numPr>
        <w:pStyle w:val="Compact"/>
      </w:pPr>
      <w:r>
        <w:t xml:space="preserve">Category 11: Use of sold products</w:t>
      </w:r>
    </w:p>
    <w:p>
      <w:pPr>
        <w:numPr>
          <w:ilvl w:val="0"/>
          <w:numId w:val="1015"/>
        </w:numPr>
        <w:pStyle w:val="Compact"/>
      </w:pPr>
      <w:r>
        <w:t xml:space="preserve">Category 12: End-of-life treatment of sold products</w:t>
      </w:r>
    </w:p>
    <w:p>
      <w:pPr>
        <w:pStyle w:val="FirstParagraph"/>
      </w:pPr>
      <w:r>
        <w:t xml:space="preserve">The calculated Scope 3 emissions represent approximately 86.35% of the total PCF (18.982 kg CO2e / 21.982 kg CO2e). While significant, achieving the mandated 95% coverage for Scope 3 reporting in a real-world scenario would necessitate data collection for additional categories not covered by the provided parameters, such as:</w:t>
      </w:r>
    </w:p>
    <w:p>
      <w:pPr>
        <w:numPr>
          <w:ilvl w:val="0"/>
          <w:numId w:val="1016"/>
        </w:numPr>
        <w:pStyle w:val="Compact"/>
      </w:pPr>
      <w:r>
        <w:t xml:space="preserve">Capital goods (Category 2)</w:t>
      </w:r>
    </w:p>
    <w:p>
      <w:pPr>
        <w:numPr>
          <w:ilvl w:val="0"/>
          <w:numId w:val="1016"/>
        </w:numPr>
        <w:pStyle w:val="Compact"/>
      </w:pPr>
      <w:r>
        <w:t xml:space="preserve">Fuel- and energy-related activities not included in Scope 1 or Scope 2 (Category 3)</w:t>
      </w:r>
    </w:p>
    <w:p>
      <w:pPr>
        <w:numPr>
          <w:ilvl w:val="0"/>
          <w:numId w:val="1016"/>
        </w:numPr>
        <w:pStyle w:val="Compact"/>
      </w:pPr>
      <w:r>
        <w:t xml:space="preserve">Waste generated in operations (Category 5)</w:t>
      </w:r>
    </w:p>
    <w:p>
      <w:pPr>
        <w:numPr>
          <w:ilvl w:val="0"/>
          <w:numId w:val="1016"/>
        </w:numPr>
        <w:pStyle w:val="Compact"/>
      </w:pPr>
      <w:r>
        <w:t xml:space="preserve">Business travel (Category 6)</w:t>
      </w:r>
    </w:p>
    <w:p>
      <w:pPr>
        <w:numPr>
          <w:ilvl w:val="0"/>
          <w:numId w:val="1016"/>
        </w:numPr>
        <w:pStyle w:val="Compact"/>
      </w:pPr>
      <w:r>
        <w:t xml:space="preserve">Employee commuting (Category 7)</w:t>
      </w:r>
    </w:p>
    <w:p>
      <w:pPr>
        <w:numPr>
          <w:ilvl w:val="0"/>
          <w:numId w:val="1016"/>
        </w:numPr>
        <w:pStyle w:val="Compact"/>
      </w:pPr>
      <w:r>
        <w:t xml:space="preserve">Any downstream processing of sold products (Category 10) or other leased assets, franchises, and investments (Categories 13-15).</w:t>
      </w:r>
    </w:p>
    <w:p>
      <w:pPr>
        <w:pStyle w:val="FirstParagraph"/>
      </w:pPr>
      <w:r>
        <w:t xml:space="preserve">A full 95% compliance would require a broader data collection effort across all relevant value chain activities.</w:t>
      </w:r>
    </w:p>
    <w:p>
      <w:r>
        <w:pict>
          <v:rect style="width:0;height:1.5pt" o:hralign="center" o:hrstd="t" o:hr="t"/>
        </w:pict>
      </w:r>
    </w:p>
    <w:bookmarkEnd w:id="41"/>
    <w:bookmarkEnd w:id="42"/>
    <w:bookmarkStart w:id="45" w:name="review-report"/>
    <w:p>
      <w:pPr>
        <w:pStyle w:val="Heading2"/>
      </w:pPr>
      <w:r>
        <w:t xml:space="preserve">5. Review &amp; Report</w:t>
      </w:r>
    </w:p>
    <w:p>
      <w:pPr>
        <w:pStyle w:val="FirstParagraph"/>
      </w:pPr>
      <w:r>
        <w:t xml:space="preserve">This final stage identifies emissions hotspots and assesses the reliability of the analysis.</w:t>
      </w:r>
    </w:p>
    <w:bookmarkStart w:id="43" w:name="emissions-hotspots"/>
    <w:p>
      <w:pPr>
        <w:pStyle w:val="Heading3"/>
      </w:pPr>
      <w:r>
        <w:t xml:space="preserve">Emissions Hotspots</w:t>
      </w:r>
    </w:p>
    <w:p>
      <w:pPr>
        <w:pStyle w:val="FirstParagraph"/>
      </w:pPr>
      <w:r>
        <w:t xml:space="preserve">The primary emissions hotspots for kwznosmfkj are:</w:t>
      </w:r>
    </w:p>
    <w:p>
      <w:pPr>
        <w:numPr>
          <w:ilvl w:val="0"/>
          <w:numId w:val="1017"/>
        </w:numPr>
        <w:pStyle w:val="Compact"/>
      </w:pPr>
      <w:r>
        <w:rPr>
          <w:bCs/>
          <w:b/>
        </w:rPr>
        <w:t xml:space="preserve">Use Phase (15.0 kg CO2e):</w:t>
      </w:r>
      <w:r>
        <w:t xml:space="preserve"> </w:t>
      </w:r>
      <w:r>
        <w:t xml:space="preserve">This constitutes the largest portion of the PCF, driven by the product\'s energy consumption over its 5-year lifespan. Reducing energy consumption during the use phase or promoting the use of renewable energy by end-users would yield significant reductions.</w:t>
      </w:r>
    </w:p>
    <w:p>
      <w:pPr>
        <w:numPr>
          <w:ilvl w:val="0"/>
          <w:numId w:val="1017"/>
        </w:numPr>
        <w:pStyle w:val="Compact"/>
      </w:pPr>
      <w:r>
        <w:rPr>
          <w:bCs/>
          <w:b/>
        </w:rPr>
        <w:t xml:space="preserve">Material Acquisition &amp; Pre-processing (4.01 kg CO2e):</w:t>
      </w:r>
      <w:r>
        <w:t xml:space="preserve"> </w:t>
      </w:r>
      <w:r>
        <w:t xml:space="preserve">The choice of materials, particularly those with high embodied carbon (e.g., aluminum), contributes substantially. Exploring lighter, recycled content, or alternative materials with lower emission factors could reduce this impact.</w:t>
      </w:r>
    </w:p>
    <w:p>
      <w:pPr>
        <w:numPr>
          <w:ilvl w:val="0"/>
          <w:numId w:val="1017"/>
        </w:numPr>
        <w:pStyle w:val="Compact"/>
      </w:pPr>
      <w:r>
        <w:rPr>
          <w:bCs/>
          <w:b/>
        </w:rPr>
        <w:t xml:space="preserve">Manufacturing (3.0 kg CO2e):</w:t>
      </w:r>
      <w:r>
        <w:t xml:space="preserve"> </w:t>
      </w:r>
      <w:r>
        <w:t xml:space="preserve">While 75% renewable energy is used, the remaining non-renewable electricity contributes to emissions. Further increasing renewable energy sourcing or improving energy efficiency in production processes in China is crucial.</w:t>
      </w:r>
    </w:p>
    <w:bookmarkEnd w:id="43"/>
    <w:bookmarkStart w:id="44" w:name="reliability-and-limitations"/>
    <w:p>
      <w:pPr>
        <w:pStyle w:val="Heading3"/>
      </w:pPr>
      <w:r>
        <w:t xml:space="preserve">Reliability and Limitations</w:t>
      </w:r>
    </w:p>
    <w:p>
      <w:pPr>
        <w:pStyle w:val="FirstParagraph"/>
      </w:pPr>
      <w:r>
        <w:t xml:space="preserve">The reliability of this PCF analysis is high for the stages where specific data was provided (BOM, energy intensity, renewable usage, lifespan, use phase energy, recyclability, transport distance). Key assumptions made for generic emission factors (e.g., grid mix, transport modes, average recycling/disposal impacts, simplified last-mile delivery factor) are based on widely accepted industry standards (Ecoinvent, DEFRA) but represent averages rather than specific operational data. Achieving greater accuracy would require primary data for all transport legs (mass, distance, vehicle type) and site-specific emission factors for all supply chain partners. The Scope 3 coverage, while comprehensive for the provided parameters, highlights the need for broader data collection to meet the 95% threshold.</w:t>
      </w:r>
    </w:p>
    <w:p>
      <w:r>
        <w:pict>
          <v:rect style="width:0;height:1.5pt" o:hralign="center" o:hrstd="t" o:hr="t"/>
        </w:pict>
      </w:r>
    </w:p>
    <w:bookmarkEnd w:id="44"/>
    <w:bookmarkEnd w:id="45"/>
    <w:bookmarkStart w:id="46" w:name="recommendations"/>
    <w:p>
      <w:pPr>
        <w:pStyle w:val="Heading2"/>
      </w:pPr>
      <w:r>
        <w:t xml:space="preserve">Recommendations</w:t>
      </w:r>
    </w:p>
    <w:p>
      <w:pPr>
        <w:pStyle w:val="FirstParagraph"/>
      </w:pPr>
      <w:r>
        <w:t xml:space="preserve">Based on this analysis, kfnpuwxxle can focus on the following areas for emission reduction:</w:t>
      </w:r>
    </w:p>
    <w:p>
      <w:pPr>
        <w:numPr>
          <w:ilvl w:val="0"/>
          <w:numId w:val="1018"/>
        </w:numPr>
        <w:pStyle w:val="Compact"/>
      </w:pPr>
      <w:r>
        <w:rPr>
          <w:bCs/>
          <w:b/>
        </w:rPr>
        <w:t xml:space="preserve">Optimize Use Phase:</w:t>
      </w:r>
      <w:r>
        <w:t xml:space="preserve"> </w:t>
      </w:r>
      <w:r>
        <w:t xml:space="preserve">Invest in R&amp;D for highly energy-efficient product designs. Educate consumers on sustainable use practices and benefits of renewable energy integration at the user end.</w:t>
      </w:r>
    </w:p>
    <w:p>
      <w:pPr>
        <w:numPr>
          <w:ilvl w:val="0"/>
          <w:numId w:val="1018"/>
        </w:numPr>
        <w:pStyle w:val="Compact"/>
      </w:pPr>
      <w:r>
        <w:rPr>
          <w:bCs/>
          <w:b/>
        </w:rPr>
        <w:t xml:space="preserve">Sustainable Sourcing:</w:t>
      </w:r>
      <w:r>
        <w:t xml:space="preserve"> </w:t>
      </w:r>
      <w:r>
        <w:t xml:space="preserve">Investigate opportunities to use lower-carbon alternatives or higher recycled content for materials, especially for the Aluminum Casing and Plastic Enclosure. Engage with suppliers to encourage their decarbonization efforts.</w:t>
      </w:r>
    </w:p>
    <w:p>
      <w:pPr>
        <w:numPr>
          <w:ilvl w:val="0"/>
          <w:numId w:val="1018"/>
        </w:numPr>
        <w:pStyle w:val="Compact"/>
      </w:pPr>
      <w:r>
        <w:rPr>
          <w:bCs/>
          <w:b/>
        </w:rPr>
        <w:t xml:space="preserve">Decarbonize Manufacturing:</w:t>
      </w:r>
      <w:r>
        <w:t xml:space="preserve"> </w:t>
      </w:r>
      <w:r>
        <w:t xml:space="preserve">Explore options to achieve 100% renewable electricity for manufacturing operations in China, either through direct procurement or Renewable Energy Certificates (RECs).</w:t>
      </w:r>
    </w:p>
    <w:p>
      <w:pPr>
        <w:numPr>
          <w:ilvl w:val="0"/>
          <w:numId w:val="1018"/>
        </w:numPr>
        <w:pStyle w:val="Compact"/>
      </w:pPr>
      <w:r>
        <w:rPr>
          <w:bCs/>
          <w:b/>
        </w:rPr>
        <w:t xml:space="preserve">Enhance Circularity:</w:t>
      </w:r>
      <w:r>
        <w:t xml:space="preserve"> </w:t>
      </w:r>
      <w:r>
        <w:t xml:space="preserve">Leverage the existing take-back and refurbishment program (jsztdxiggg) to maximize product recovery, reuse, and high-value recycling, thereby extending product lifecycles and further reducing the need for virgin materials.</w:t>
      </w:r>
    </w:p>
    <w:p>
      <w:pPr>
        <w:numPr>
          <w:ilvl w:val="0"/>
          <w:numId w:val="1018"/>
        </w:numPr>
        <w:pStyle w:val="Compact"/>
      </w:pPr>
      <w:r>
        <w:rPr>
          <w:bCs/>
          <w:b/>
        </w:rPr>
        <w:t xml:space="preserve">Supply Chain Engagement:</w:t>
      </w:r>
      <w:r>
        <w:t xml:space="preserve"> </w:t>
      </w:r>
      <w:r>
        <w:t xml:space="preserve">Collaborate with logistics providers to explore lower-emission transport modes (e.g., rail, sea freight for longer distances if feasible) and optimize routing to reduce fuel consumption.</w:t>
      </w:r>
    </w:p>
    <w:p>
      <w:pPr>
        <w:numPr>
          <w:ilvl w:val="0"/>
          <w:numId w:val="1018"/>
        </w:numPr>
        <w:pStyle w:val="Compact"/>
      </w:pPr>
      <w:r>
        <w:rPr>
          <w:bCs/>
          <w:b/>
        </w:rPr>
        <w:t xml:space="preserve">Data Improvement:</w:t>
      </w:r>
      <w:r>
        <w:t xml:space="preserve"> </w:t>
      </w:r>
      <w:r>
        <w:t xml:space="preserve">For future PCF analyses, expand data collection to cover a broader range of Scope 3 categories (e.g., capital goods, waste from operations, business travel) to achieve the 95% coverage target and improve the granularity of transport and EoL data.</w:t>
      </w:r>
    </w:p>
    <w:p>
      <w:r>
        <w:pict>
          <v:rect style="width:0;height:1.5pt" o:hralign="center" o:hrstd="t" o:hr="t"/>
        </w:pict>
      </w:r>
    </w:p>
    <w:bookmarkEnd w:id="46"/>
    <w:p>
      <w:pPr>
        <w:pStyle w:val="FirstParagraph"/>
      </w:pPr>
      <w:r>
        <w:t xml:space="preserve">Confidential - Internal Use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kwznosmfkj</dc:title>
  <dc:creator/>
  <dc:description>Detailed Product Carbon Footprint (PCF) analysis report for kwznosmfkj, conducted by qfmvjxtirz of kfnpuwxxle, following GHG Protocol standards.</dc:description>
  <dc:language>en</dc:language>
  <cp:keywords/>
  <dcterms:created xsi:type="dcterms:W3CDTF">2026-07-15T03:41:02Z</dcterms:created>
  <dcterms:modified xsi:type="dcterms:W3CDTF">2026-07-15T03:41:02Z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