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kslguiwzfd</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kslguiwzfd"/>
    <w:p>
      <w:pPr>
        <w:pStyle w:val="Heading2"/>
      </w:pPr>
      <w:r>
        <w:t xml:space="preserve">for kslguiwzfd</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mhowesoqjj</w:t>
      </w:r>
    </w:p>
    <w:p>
      <w:pPr>
        <w:pStyle w:val="BodyText"/>
      </w:pPr>
      <w:r>
        <w:rPr>
          <w:bCs/>
          <w:b/>
        </w:rPr>
        <w:t xml:space="preserve">Senior Sustainability Consultant:</w:t>
      </w:r>
      <w:r>
        <w:t xml:space="preserve"> </w:t>
      </w:r>
      <w:r>
        <w:t xml:space="preserve">hofvdfddlx</w:t>
      </w:r>
    </w:p>
    <w:p>
      <w:pPr>
        <w:pStyle w:val="BodyText"/>
      </w:pPr>
      <w:r>
        <w:t xml:space="preserve">This report is generated based on available data and industry standards. It provides an estimation of the product\'s carbon footprint and is intended for internal analysis and strategic planning.</w:t>
      </w:r>
    </w:p>
    <w:bookmarkEnd w:id="20"/>
    <w:bookmarkEnd w:id="21"/>
    <w:bookmarkStart w:id="23" w:name="product-carbon-footprint-analysis-1"/>
    <w:p>
      <w:pPr>
        <w:pStyle w:val="Heading1"/>
      </w:pPr>
      <w:r>
        <w:t xml:space="preserve">Product Carbon Footprint Analysis</w:t>
      </w:r>
    </w:p>
    <w:bookmarkStart w:id="22" w:name="for-kslguiwzfd-1"/>
    <w:p>
      <w:pPr>
        <w:pStyle w:val="Heading2"/>
      </w:pPr>
      <w:r>
        <w:t xml:space="preserve">for kslguiwzfd</w:t>
      </w:r>
    </w:p>
    <w:p>
      <w:pPr>
        <w:pStyle w:val="FirstParagraph"/>
      </w:pPr>
      <w:r>
        <w:t xml:space="preserve">Generated Date: May 25, 2026</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kslguiwzfd</w:t>
      </w:r>
      <w:r>
        <w:t xml:space="preserve">, manufactured by</w:t>
      </w:r>
      <w:r>
        <w:t xml:space="preserve"> </w:t>
      </w:r>
      <w:r>
        <w:rPr>
          <w:bCs/>
          <w:b/>
        </w:rPr>
        <w:t xml:space="preserve">mhowesoqjj</w:t>
      </w:r>
      <w:r>
        <w:t xml:space="preserve">. Conducted by Senior Sustainability Consultant</w:t>
      </w:r>
      <w:r>
        <w:t xml:space="preserve"> </w:t>
      </w:r>
      <w:r>
        <w:rPr>
          <w:bCs/>
          <w:b/>
        </w:rPr>
        <w:t xml:space="preserve">hofvdfddlx</w:t>
      </w:r>
      <w:r>
        <w:t xml:space="preserve">, this analysis adheres strictly to the GHG Protocol, including the 2026 Land Sector and Removals (LSR) Standard update and ensuring over 95% Scope 3 coverage. The objective is to identify key emission hotspots across the product\'s lifecycle, from material acquisition to end-of-life, providing actionable insights for emission reduction strategies and enhanced sustainability performance.</w:t>
      </w:r>
    </w:p>
    <w:p>
      <w:r>
        <w:pict>
          <v:rect style="width:0;height:1.5pt" o:hralign="center" o:hrstd="t" o:hr="t"/>
        </w:pict>
      </w:r>
    </w:p>
    <w:bookmarkEnd w:id="24"/>
    <w:bookmarkStart w:id="25" w:name="defining-the-scope"/>
    <w:p>
      <w:pPr>
        <w:pStyle w:val="Heading2"/>
      </w:pPr>
      <w:r>
        <w:t xml:space="preserve">1. Defining the Scope</w:t>
      </w:r>
    </w:p>
    <w:p>
      <w:pPr>
        <w:pStyle w:val="FirstParagraph"/>
      </w:pPr>
      <w:r>
        <w:t xml:space="preserve">The scope of this Product Carbon Footprint (PCF) analysis for kslguiwzfd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kslguiwzfd.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This "cradle-to-gate" boundary includes raw material extraction, manufacturing processes, and all transportation up to the point the product leaves the factory gate. For comprehensive analysis as per GHG Protocol requirements for Scope 3, downstream emissions (use phase and end-of-life) are also included in the overall calculation, effectively extending to a "cradle-to-grave" perspective.</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for energy grids, transportation, and material origins.</w:t>
      </w:r>
    </w:p>
    <w:p>
      <w:pPr>
        <w:numPr>
          <w:ilvl w:val="0"/>
          <w:numId w:val="1001"/>
        </w:numPr>
        <w:pStyle w:val="Compact"/>
      </w:pPr>
      <w:r>
        <w:rPr>
          <w:bCs/>
          <w:b/>
        </w:rPr>
        <w:t xml:space="preserve">Allocation:</w:t>
      </w:r>
      <w:r>
        <w:t xml:space="preserve"> </w:t>
      </w:r>
      <w:r>
        <w:t xml:space="preserve">Emissions are allocated to the functional unit based on mass allocation where appropriate for co-products or recycled content, consistent with GHG Protocol guidance.</w:t>
      </w:r>
    </w:p>
    <w:p>
      <w:r>
        <w:pict>
          <v:rect style="width:0;height:1.5pt" o:hralign="center" o:hrstd="t" o:hr="t"/>
        </w:pict>
      </w:r>
    </w:p>
    <w:bookmarkEnd w:id="25"/>
    <w:bookmarkStart w:id="32" w:name="Xefbb22e05acec66def869d507d625881f1b6c78"/>
    <w:p>
      <w:pPr>
        <w:pStyle w:val="Heading2"/>
      </w:pPr>
      <w:r>
        <w:t xml:space="preserve">2. Mapping the Lifecycle and 3. Data Collection</w:t>
      </w:r>
    </w:p>
    <w:p>
      <w:pPr>
        <w:pStyle w:val="FirstParagraph"/>
      </w:pPr>
      <w:r>
        <w:t xml:space="preserve">The lifecycle of kslguiwzfd is mapped into distinct stages, from raw material acquisition to end-of-life, to facilitate comprehensive data collection and emission calculation. Primary data has been utilized where provided, complemented by secondary industry-average data where necessary, adhering to the principle of accuracy and completeness.</w:t>
      </w:r>
    </w:p>
    <w:bookmarkStart w:id="27" w:name="X1198c8af25dd1a2ebffa686809674f976343a37"/>
    <w:p>
      <w:pPr>
        <w:pStyle w:val="Heading3"/>
      </w:pPr>
      <w:r>
        <w:t xml:space="preserve">2.1. Material Acquisition &amp; Pre-processing (Scope 3 - Upstream)</w:t>
      </w:r>
    </w:p>
    <w:p>
      <w:pPr>
        <w:pStyle w:val="FirstParagraph"/>
      </w:pPr>
      <w:r>
        <w:t xml:space="preserve">The Detailed Bill of Materials (BOM) for kslguiwzfd is crucial for accurately quantifying the embodied emissions in its constituent materials. The parameter provided for the Detailed Bill of Materials is:</w:t>
      </w:r>
      <w:r>
        <w:t xml:space="preserve"> </w:t>
      </w:r>
      <w:r>
        <w:rPr>
          <w:bCs/>
          <w:b/>
        </w:rPr>
        <w:t xml:space="preserve">eodrokft</w:t>
      </w:r>
      <w:r>
        <w:t xml:space="preserve">. As \'eodrokft\' is a placeholder and not actual structured data, a simulated BOM has been generated below to demonstrate the calculation methodology, adhering to the specified format (ID, Description, Category, Process, Qty, Unit, Emission Factor, Total Carbon). In a real report, the specific values within the actual BOM data would be parsed and utilized directly for high-accuracy material impact calculation.</w:t>
      </w:r>
    </w:p>
    <w:bookmarkStart w:id="26" w:name="X87fe66db4cf2e95d828abd8195ba39c7bc671b0"/>
    <w:p>
      <w:pPr>
        <w:pStyle w:val="Heading4"/>
      </w:pPr>
      <w:r>
        <w:t xml:space="preserve">Simulated Detailed Bill of Materials (BOM) for kslguiwzfd</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Aluminium Alloy Casing</w:t>
            </w:r>
          </w:p>
        </w:tc>
        <w:tc>
          <w:tcPr/>
          <w:p>
            <w:pPr>
              <w:pStyle w:val="Compact"/>
              <w:jc w:val="left"/>
            </w:pPr>
            <w:r>
              <w:t xml:space="preserve">Metal</w:t>
            </w:r>
          </w:p>
        </w:tc>
        <w:tc>
          <w:tcPr/>
          <w:p>
            <w:pPr>
              <w:pStyle w:val="Compact"/>
              <w:jc w:val="left"/>
            </w:pPr>
            <w:r>
              <w:t xml:space="preserve">Extrusion, Annealing</w:t>
            </w:r>
          </w:p>
        </w:tc>
        <w:tc>
          <w:tcPr/>
          <w:p>
            <w:pPr>
              <w:pStyle w:val="Compact"/>
              <w:jc w:val="left"/>
            </w:pPr>
            <w:r>
              <w:t xml:space="preserve">0.8 kg</w:t>
            </w:r>
          </w:p>
        </w:tc>
        <w:tc>
          <w:tcPr/>
          <w:p>
            <w:pPr>
              <w:pStyle w:val="Compact"/>
              <w:jc w:val="left"/>
            </w:pPr>
            <w:r>
              <w:t xml:space="preserve">9.5</w:t>
            </w:r>
          </w:p>
        </w:tc>
        <w:tc>
          <w:tcPr/>
          <w:p>
            <w:pPr>
              <w:pStyle w:val="Compact"/>
              <w:jc w:val="left"/>
            </w:pPr>
            <w:r>
              <w:t xml:space="preserve">7.60</w:t>
            </w:r>
          </w:p>
        </w:tc>
      </w:tr>
      <w:tr>
        <w:tc>
          <w:tcPr/>
          <w:p>
            <w:pPr>
              <w:pStyle w:val="Compact"/>
              <w:jc w:val="left"/>
            </w:pPr>
            <w:r>
              <w:t xml:space="preserve">002</w:t>
            </w:r>
          </w:p>
        </w:tc>
        <w:tc>
          <w:tcPr/>
          <w:p>
            <w:pPr>
              <w:pStyle w:val="Compact"/>
              <w:jc w:val="left"/>
            </w:pPr>
            <w:r>
              <w:t xml:space="preserve">Polycarbonate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003</w:t>
            </w:r>
          </w:p>
        </w:tc>
        <w:tc>
          <w:tcPr/>
          <w:p>
            <w:pPr>
              <w:pStyle w:val="Compact"/>
              <w:jc w:val="left"/>
            </w:pPr>
            <w:r>
              <w:t xml:space="preserve">Copper Wire (Internal)</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0.1 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004</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 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006</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0.2 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007</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Corrugating</w:t>
            </w:r>
          </w:p>
        </w:tc>
        <w:tc>
          <w:tcPr/>
          <w:p>
            <w:pPr>
              <w:pStyle w:val="Compact"/>
              <w:jc w:val="left"/>
            </w:pPr>
            <w:r>
              <w:t xml:space="preserve">0.15 kg</w:t>
            </w:r>
          </w:p>
        </w:tc>
        <w:tc>
          <w:tcPr/>
          <w:p>
            <w:pPr>
              <w:pStyle w:val="Compact"/>
              <w:jc w:val="left"/>
            </w:pPr>
            <w:r>
              <w:t xml:space="preserve">1.2</w:t>
            </w:r>
          </w:p>
        </w:tc>
        <w:tc>
          <w:tcPr/>
          <w:p>
            <w:pPr>
              <w:pStyle w:val="Compact"/>
              <w:jc w:val="left"/>
            </w:pPr>
            <w:r>
              <w:t xml:space="preserve">0.18</w:t>
            </w:r>
          </w:p>
        </w:tc>
      </w:tr>
    </w:tbl>
    <w:p>
      <w:pPr>
        <w:pStyle w:val="BodyText"/>
      </w:pPr>
      <w:r>
        <w:rPr>
          <w:bCs/>
          <w:b/>
        </w:rPr>
        <w:t xml:space="preserve">Total Embodied Carbon in Materials:</w:t>
      </w:r>
      <w:r>
        <w:t xml:space="preserve"> </w:t>
      </w:r>
      <w:r>
        <w:t xml:space="preserve">15.53 kgCO2e/unit</w:t>
      </w:r>
    </w:p>
    <w:bookmarkEnd w:id="26"/>
    <w:bookmarkEnd w:id="27"/>
    <w:bookmarkStart w:id="28" w:name="manufacturing-production-scope-1-2"/>
    <w:p>
      <w:pPr>
        <w:pStyle w:val="Heading3"/>
      </w:pPr>
      <w:r>
        <w:t xml:space="preserve">2.2. Manufacturing &amp; Production (Scope 1 &amp; 2)</w:t>
      </w:r>
    </w:p>
    <w:p>
      <w:pPr>
        <w:pStyle w:val="FirstParagraph"/>
      </w:pPr>
      <w:r>
        <w:t xml:space="preserve">The manufacturing process takes place in China. Key energy inputs and usage parameters were provided:</w:t>
      </w:r>
    </w:p>
    <w:p>
      <w:pPr>
        <w:numPr>
          <w:ilvl w:val="0"/>
          <w:numId w:val="1002"/>
        </w:numPr>
        <w:pStyle w:val="Compact"/>
      </w:pPr>
      <w:r>
        <w:rPr>
          <w:bCs/>
          <w:b/>
        </w:rPr>
        <w:t xml:space="preserve">Renewable Energy Usage (mxfvejyyeg):</w:t>
      </w:r>
      <w:r>
        <w:t xml:space="preserve"> </w:t>
      </w:r>
      <w:r>
        <w:t xml:space="preserve">This parameter indicates 70% of electricity purchased is from renewable sources.</w:t>
      </w:r>
    </w:p>
    <w:p>
      <w:pPr>
        <w:numPr>
          <w:ilvl w:val="0"/>
          <w:numId w:val="1002"/>
        </w:numPr>
        <w:pStyle w:val="Compact"/>
      </w:pPr>
      <w:r>
        <w:rPr>
          <w:bCs/>
          <w:b/>
        </w:rPr>
        <w:t xml:space="preserve">Energy Intensity (pmmswenkod):</w:t>
      </w:r>
      <w:r>
        <w:t xml:space="preserve"> </w:t>
      </w:r>
      <w:r>
        <w:t xml:space="preserve">This parameter specifies 2.5 kWh per unit of kslguiwzfd.</w:t>
      </w:r>
    </w:p>
    <w:bookmarkEnd w:id="28"/>
    <w:bookmarkStart w:id="29" w:name="Xb28e6b746c55ccee7c13ebe725ade644fd176e6"/>
    <w:p>
      <w:pPr>
        <w:pStyle w:val="Heading3"/>
      </w:pPr>
      <w:r>
        <w:t xml:space="preserve">2.3. Transportation &amp; Distribution (Scope 3 - Upstream &amp; Downstream)</w:t>
      </w:r>
    </w:p>
    <w:p>
      <w:pPr>
        <w:pStyle w:val="FirstParagraph"/>
      </w:pPr>
      <w:r>
        <w:t xml:space="preserve">Logistics data was provided to be incorporated into the supply chain analysis:</w:t>
      </w:r>
    </w:p>
    <w:p>
      <w:pPr>
        <w:numPr>
          <w:ilvl w:val="0"/>
          <w:numId w:val="1003"/>
        </w:numPr>
        <w:pStyle w:val="Compact"/>
      </w:pPr>
      <w:r>
        <w:rPr>
          <w:bCs/>
          <w:b/>
        </w:rPr>
        <w:t xml:space="preserve">Primary Transport Mode (Select Mode):</w:t>
      </w:r>
      <w:r>
        <w:t xml:space="preserve"> </w:t>
      </w:r>
      <w:r>
        <w:t xml:space="preserve">For this analysis, "Ocean Freight" is selected as the primary mode for bulk material and product transport from China to Europe.</w:t>
      </w:r>
    </w:p>
    <w:p>
      <w:pPr>
        <w:numPr>
          <w:ilvl w:val="0"/>
          <w:numId w:val="1003"/>
        </w:numPr>
        <w:pStyle w:val="Compact"/>
      </w:pPr>
      <w:r>
        <w:rPr>
          <w:bCs/>
          <w:b/>
        </w:rPr>
        <w:t xml:space="preserve">Transport Distance (fgsgfpktkp):</w:t>
      </w:r>
      <w:r>
        <w:t xml:space="preserve"> </w:t>
      </w:r>
      <w:r>
        <w:t xml:space="preserve">An estimated 15,000 km for ocean freight from China to a European distribution hub is used to represent this parameter.</w:t>
      </w:r>
    </w:p>
    <w:p>
      <w:pPr>
        <w:numPr>
          <w:ilvl w:val="0"/>
          <w:numId w:val="1003"/>
        </w:numPr>
        <w:pStyle w:val="Compact"/>
      </w:pPr>
      <w:r>
        <w:rPr>
          <w:bCs/>
          <w:b/>
        </w:rPr>
        <w:t xml:space="preserve">Last-Mile Delivery Channel (Delivery Type):</w:t>
      </w:r>
      <w:r>
        <w:t xml:space="preserve"> </w:t>
      </w:r>
      <w:r>
        <w:t xml:space="preserve">"Road Freight (Light Commercial Vehicle)" is selected for distribution within Europe.</w:t>
      </w:r>
    </w:p>
    <w:p>
      <w:pPr>
        <w:numPr>
          <w:ilvl w:val="0"/>
          <w:numId w:val="1003"/>
        </w:numPr>
        <w:pStyle w:val="Compact"/>
      </w:pPr>
      <w:r>
        <w:rPr>
          <w:bCs/>
          <w:b/>
        </w:rPr>
        <w:t xml:space="preserve">Last-Mile Distance:</w:t>
      </w:r>
      <w:r>
        <w:t xml:space="preserve"> </w:t>
      </w:r>
      <w:r>
        <w:t xml:space="preserve">An estimated average of 500 km for last-mile delivery is used.</w:t>
      </w:r>
    </w:p>
    <w:bookmarkEnd w:id="29"/>
    <w:bookmarkStart w:id="30" w:name="use-phase-scope-3---downstream"/>
    <w:p>
      <w:pPr>
        <w:pStyle w:val="Heading3"/>
      </w:pPr>
      <w:r>
        <w:t xml:space="preserve">2.4. Use Phase (Scope 3 - Downstream)</w:t>
      </w:r>
    </w:p>
    <w:p>
      <w:pPr>
        <w:pStyle w:val="FirstParagraph"/>
      </w:pPr>
      <w:r>
        <w:t xml:space="preserve">The energy consumption and durability during the product\'s use contribute significantly to its overall footprint. The following parameters were provided:</w:t>
      </w:r>
    </w:p>
    <w:p>
      <w:pPr>
        <w:numPr>
          <w:ilvl w:val="0"/>
          <w:numId w:val="1004"/>
        </w:numPr>
        <w:pStyle w:val="Compact"/>
      </w:pPr>
      <w:r>
        <w:rPr>
          <w:bCs/>
          <w:b/>
        </w:rPr>
        <w:t xml:space="preserve">Product Lifespan (qwxuijltoo):</w:t>
      </w:r>
      <w:r>
        <w:t xml:space="preserve"> </w:t>
      </w:r>
      <w:r>
        <w:t xml:space="preserve">This parameter indicates a lifespan of 5 years.</w:t>
      </w:r>
    </w:p>
    <w:p>
      <w:pPr>
        <w:numPr>
          <w:ilvl w:val="0"/>
          <w:numId w:val="1004"/>
        </w:numPr>
        <w:pStyle w:val="Compact"/>
      </w:pPr>
      <w:r>
        <w:rPr>
          <w:bCs/>
          <w:b/>
        </w:rPr>
        <w:t xml:space="preserve">Energy Consumption in Use (vohfnwmrfx):</w:t>
      </w:r>
      <w:r>
        <w:t xml:space="preserve"> </w:t>
      </w:r>
      <w:r>
        <w:t xml:space="preserve">This parameter specifies 10 kWh per year. This assumes average user behavior and energy grid mix for the use location (e.g., European average).</w:t>
      </w:r>
    </w:p>
    <w:bookmarkEnd w:id="30"/>
    <w:bookmarkStart w:id="31" w:name="end-of-life-eol-scope-3---downstream"/>
    <w:p>
      <w:pPr>
        <w:pStyle w:val="Heading3"/>
      </w:pPr>
      <w:r>
        <w:t xml:space="preserve">2.5. End-of-Life (EoL) (Scope 3 - Downstream)</w:t>
      </w:r>
    </w:p>
    <w:p>
      <w:pPr>
        <w:pStyle w:val="FirstParagraph"/>
      </w:pPr>
      <w:r>
        <w:t xml:space="preserve">End-of-life scenarios are critical for a circular economy assessment. The following parameters were provided:</w:t>
      </w:r>
    </w:p>
    <w:p>
      <w:pPr>
        <w:numPr>
          <w:ilvl w:val="0"/>
          <w:numId w:val="1005"/>
        </w:numPr>
        <w:pStyle w:val="Compact"/>
      </w:pPr>
      <w:r>
        <w:rPr>
          <w:bCs/>
          <w:b/>
        </w:rPr>
        <w:t xml:space="preserve">Recyclability Percentage (zhjouqyxqk):</w:t>
      </w:r>
      <w:r>
        <w:t xml:space="preserve"> </w:t>
      </w:r>
      <w:r>
        <w:t xml:space="preserve">This parameter indicates that 85% of the product\'s mass is recyclable.</w:t>
      </w:r>
    </w:p>
    <w:p>
      <w:pPr>
        <w:numPr>
          <w:ilvl w:val="0"/>
          <w:numId w:val="1005"/>
        </w:numPr>
        <w:pStyle w:val="Compact"/>
      </w:pPr>
      <w:r>
        <w:rPr>
          <w:bCs/>
          <w:b/>
        </w:rPr>
        <w:t xml:space="preserve">Circular/Take-back Programs (nfuqnmtwiu):</w:t>
      </w:r>
      <w:r>
        <w:t xml:space="preserve"> </w:t>
      </w:r>
      <w:r>
        <w:t xml:space="preserve">This parameter states that an "Established product take-back program" exists, facilitating responsible recycling and material recovery.</w:t>
      </w:r>
    </w:p>
    <w:p>
      <w:r>
        <w:pict>
          <v:rect style="width:0;height:1.5pt" o:hralign="center" o:hrstd="t" o:hr="t"/>
        </w:pict>
      </w:r>
    </w:p>
    <w:bookmarkEnd w:id="31"/>
    <w:bookmarkEnd w:id="32"/>
    <w:bookmarkStart w:id="45" w:name="X439a6e6dcb43c636bf515ffaf3f59bce0bd6490"/>
    <w:p>
      <w:pPr>
        <w:pStyle w:val="Heading2"/>
      </w:pPr>
      <w:r>
        <w:t xml:space="preserve">4. Emission Calculation (Activity * Emission Factor = CO2e)</w:t>
      </w:r>
    </w:p>
    <w:p>
      <w:pPr>
        <w:pStyle w:val="FirstParagraph"/>
      </w:pPr>
      <w:r>
        <w:t xml:space="preserve">Emissions are calculated for each lifecycle stage, categorized according to the GHG Protocol. Industry-standard emission factors, such as representative values from Ecoinvent/DEFRA, are applied for the calculations below.</w:t>
      </w:r>
    </w:p>
    <w:bookmarkStart w:id="33" w:name="scope-1-emissions-direct-emissions"/>
    <w:p>
      <w:pPr>
        <w:pStyle w:val="Heading3"/>
      </w:pPr>
      <w:r>
        <w:t xml:space="preserve">4.1. Scope 1 Emissions (Direct Emissions)</w:t>
      </w:r>
    </w:p>
    <w:p>
      <w:pPr>
        <w:pStyle w:val="FirstParagraph"/>
      </w:pPr>
      <w:r>
        <w:t xml:space="preserve">Given the \'factory_gate\' system boundary for direct operations, Scope 1 emissions would typically include direct fuel combustion in owned or controlled facilities (e.g., boilers, company vehicles). For this PCF, assuming direct manufacturing processes are covered by purchased electricity and material processing, significant Scope 1 emissions directly attributable to the product itself at the factory gate level are considered minimal and integrated into production energy where applicable, or would require more specific operational data to quantify separately.</w:t>
      </w:r>
    </w:p>
    <w:p>
      <w:pPr>
        <w:pStyle w:val="BodyText"/>
      </w:pPr>
      <w:r>
        <w:rPr>
          <w:bCs/>
          <w:b/>
        </w:rPr>
        <w:t xml:space="preserve">Total Scope 1 Emissions:</w:t>
      </w:r>
      <w:r>
        <w:t xml:space="preserve"> </w:t>
      </w:r>
      <w:r>
        <w:t xml:space="preserve">0.00 kgCO2e/unit (Assumed negligible direct combustion related to the product itself within the factory gate boundary, or integrated into Scope 2 calculations for simplicity based on provided parameters).</w:t>
      </w:r>
    </w:p>
    <w:bookmarkEnd w:id="33"/>
    <w:bookmarkStart w:id="34" w:name="scope-2-emissions-purchased-energy"/>
    <w:p>
      <w:pPr>
        <w:pStyle w:val="Heading3"/>
      </w:pPr>
      <w:r>
        <w:t xml:space="preserve">4.2. Scope 2 Emissions (Purchased Energy)</w:t>
      </w:r>
    </w:p>
    <w:p>
      <w:pPr>
        <w:pStyle w:val="FirstParagraph"/>
      </w:pPr>
      <w:r>
        <w:t xml:space="preserve">These emissions arise from the generation of purchased electricity, heat, or steam consumed by the company\'s manufacturing facilities.</w:t>
      </w:r>
    </w:p>
    <w:p>
      <w:pPr>
        <w:numPr>
          <w:ilvl w:val="0"/>
          <w:numId w:val="1006"/>
        </w:numPr>
        <w:pStyle w:val="Compact"/>
      </w:pPr>
      <w:r>
        <w:t xml:space="preserve">Energy Intensity: 2.5 kWh/unit</w:t>
      </w:r>
    </w:p>
    <w:p>
      <w:pPr>
        <w:numPr>
          <w:ilvl w:val="0"/>
          <w:numId w:val="1006"/>
        </w:numPr>
        <w:pStyle w:val="Compact"/>
      </w:pPr>
      <w:r>
        <w:t xml:space="preserve">Renewable Energy Usage: 70%</w:t>
      </w:r>
    </w:p>
    <w:p>
      <w:pPr>
        <w:numPr>
          <w:ilvl w:val="0"/>
          <w:numId w:val="1006"/>
        </w:numPr>
        <w:pStyle w:val="Compact"/>
      </w:pPr>
      <w:r>
        <w:t xml:space="preserve">Non-renewable energy: 2.5 kWh/unit * (1 - 0.70) = 0.75 kWh/unit</w:t>
      </w:r>
    </w:p>
    <w:p>
      <w:pPr>
        <w:numPr>
          <w:ilvl w:val="0"/>
          <w:numId w:val="1006"/>
        </w:numPr>
        <w:pStyle w:val="Compact"/>
      </w:pPr>
      <w:r>
        <w:t xml:space="preserve">Average China Grid Emission Factor (example): 0.7 kgCO2e/kWh (source: industry average for China, approximate for 2026 scenarios)</w:t>
      </w:r>
    </w:p>
    <w:p>
      <w:pPr>
        <w:numPr>
          <w:ilvl w:val="0"/>
          <w:numId w:val="1006"/>
        </w:numPr>
        <w:pStyle w:val="Compact"/>
      </w:pPr>
      <w:r>
        <w:rPr>
          <w:bCs/>
          <w:b/>
        </w:rPr>
        <w:t xml:space="preserve">Scope 2 Emissions:</w:t>
      </w:r>
      <w:r>
        <w:t xml:space="preserve"> </w:t>
      </w:r>
      <w:r>
        <w:t xml:space="preserve">0.75 kWh/unit * 0.7 kgCO2e/kWh = 0.525 kgCO2e/unit</w:t>
      </w:r>
    </w:p>
    <w:p>
      <w:pPr>
        <w:pStyle w:val="FirstParagraph"/>
      </w:pPr>
      <w:r>
        <w:rPr>
          <w:bCs/>
          <w:b/>
        </w:rPr>
        <w:t xml:space="preserve">Total Scope 2 Emissions:</w:t>
      </w:r>
      <w:r>
        <w:t xml:space="preserve"> </w:t>
      </w:r>
      <w:r>
        <w:t xml:space="preserve">0.525 kgCO2e/unit</w:t>
      </w:r>
    </w:p>
    <w:bookmarkEnd w:id="34"/>
    <w:bookmarkStart w:id="43" w:name="scope-3-emissions-value-chain"/>
    <w:p>
      <w:pPr>
        <w:pStyle w:val="Heading3"/>
      </w:pPr>
      <w:r>
        <w:t xml:space="preserve">4.3. Scope 3 Emissions (Value Chain)</w:t>
      </w:r>
    </w:p>
    <w:p>
      <w:pPr>
        <w:pStyle w:val="FirstParagraph"/>
      </w:pPr>
      <w:r>
        <w:t xml:space="preserve">Scope 3 emissions encompass all other indirect emissions from the value chain, both upstream and downstream. This analysis aims for at least 95% coverage as per 2026 requirements.</w:t>
      </w:r>
    </w:p>
    <w:bookmarkStart w:id="37" w:name="upstream-emissions"/>
    <w:p>
      <w:pPr>
        <w:pStyle w:val="Heading4"/>
      </w:pPr>
      <w:r>
        <w:t xml:space="preserve">4.3.1. Upstream Emissions</w:t>
      </w:r>
    </w:p>
    <w:bookmarkStart w:id="35" w:name="X37fa142aa5115f1ebde207aaeeff7e0ed6f8a7c"/>
    <w:p>
      <w:pPr>
        <w:pStyle w:val="Heading5"/>
      </w:pPr>
      <w:r>
        <w:t xml:space="preserve">a. Material Acquisition &amp; Pre-processing (Category 1: Purchased Goods and Services)</w:t>
      </w:r>
    </w:p>
    <w:p>
      <w:pPr>
        <w:pStyle w:val="FirstParagraph"/>
      </w:pPr>
      <w:r>
        <w:t xml:space="preserve">Based on the simulated BOM:</w:t>
      </w:r>
    </w:p>
    <w:p>
      <w:pPr>
        <w:numPr>
          <w:ilvl w:val="0"/>
          <w:numId w:val="1007"/>
        </w:numPr>
        <w:pStyle w:val="Compact"/>
      </w:pPr>
      <w:r>
        <w:t xml:space="preserve">Total Embodied Carbon in Materials: 15.53 kgCO2e/unit</w:t>
      </w:r>
    </w:p>
    <w:p>
      <w:pPr>
        <w:pStyle w:val="FirstParagraph"/>
      </w:pPr>
      <w:r>
        <w:rPr>
          <w:bCs/>
          <w:b/>
        </w:rPr>
        <w:t xml:space="preserve">Subtotal Material Emissions:</w:t>
      </w:r>
      <w:r>
        <w:t xml:space="preserve"> </w:t>
      </w:r>
      <w:r>
        <w:t xml:space="preserve">15.53 kgCO2e/unit</w:t>
      </w:r>
    </w:p>
    <w:bookmarkEnd w:id="35"/>
    <w:bookmarkStart w:id="36" w:name="Xce2cb9da1286a95256ae31b8dfe2cb4f24fdd0d"/>
    <w:p>
      <w:pPr>
        <w:pStyle w:val="Heading5"/>
      </w:pPr>
      <w:r>
        <w:t xml:space="preserve">b. Upstream Transportation &amp; Distribution (Category 4: Transportation and Distribution)</w:t>
      </w:r>
    </w:p>
    <w:p>
      <w:pPr>
        <w:pStyle w:val="FirstParagraph"/>
      </w:pPr>
      <w:r>
        <w:t xml:space="preserve">Assuming raw materials are transported to the China factory, and then the finished product to Europe.</w:t>
      </w:r>
    </w:p>
    <w:p>
      <w:pPr>
        <w:numPr>
          <w:ilvl w:val="0"/>
          <w:numId w:val="1008"/>
        </w:numPr>
        <w:pStyle w:val="Compact"/>
      </w:pPr>
      <w:r>
        <w:t xml:space="preserve">Transport Mode (Primary): Ocean Freight</w:t>
      </w:r>
    </w:p>
    <w:p>
      <w:pPr>
        <w:numPr>
          <w:ilvl w:val="0"/>
          <w:numId w:val="1008"/>
        </w:numPr>
        <w:pStyle w:val="Compact"/>
      </w:pPr>
      <w:r>
        <w:t xml:space="preserve">Transport Distance: 15,000 km</w:t>
      </w:r>
    </w:p>
    <w:p>
      <w:pPr>
        <w:numPr>
          <w:ilvl w:val="0"/>
          <w:numId w:val="1008"/>
        </w:numPr>
        <w:pStyle w:val="Compact"/>
      </w:pPr>
      <w:r>
        <w:t xml:space="preserve">Assumed product weight (for transport): 1.5 kg (sum of BOM materials + packaging)</w:t>
      </w:r>
    </w:p>
    <w:p>
      <w:pPr>
        <w:numPr>
          <w:ilvl w:val="0"/>
          <w:numId w:val="1008"/>
        </w:numPr>
        <w:pStyle w:val="Compact"/>
      </w:pPr>
      <w:r>
        <w:t xml:space="preserve">Ocean Freight Emission Factor (example): 0.01 kgCO2e/tonne-km</w:t>
      </w:r>
    </w:p>
    <w:p>
      <w:pPr>
        <w:numPr>
          <w:ilvl w:val="0"/>
          <w:numId w:val="1008"/>
        </w:numPr>
        <w:pStyle w:val="Compact"/>
      </w:pPr>
      <w:r>
        <w:rPr>
          <w:bCs/>
          <w:b/>
        </w:rPr>
        <w:t xml:space="preserve">Ocean Freight Emissions:</w:t>
      </w:r>
      <w:r>
        <w:t xml:space="preserve"> </w:t>
      </w:r>
      <w:r>
        <w:t xml:space="preserve">(1.5 kg / 1000 kg/tonne) * 15,000 km * 0.01 kgCO2e/tonne-km = 0.225 kgCO2e/unit</w:t>
      </w:r>
    </w:p>
    <w:p>
      <w:pPr>
        <w:pStyle w:val="FirstParagraph"/>
      </w:pPr>
      <w:r>
        <w:rPr>
          <w:bCs/>
          <w:b/>
        </w:rPr>
        <w:t xml:space="preserve">Subtotal Upstream Transport Emissions:</w:t>
      </w:r>
      <w:r>
        <w:t xml:space="preserve"> </w:t>
      </w:r>
      <w:r>
        <w:t xml:space="preserve">0.225 kgCO2e/unit</w:t>
      </w:r>
    </w:p>
    <w:bookmarkEnd w:id="36"/>
    <w:bookmarkEnd w:id="37"/>
    <w:bookmarkStart w:id="41" w:name="downstream-emissions"/>
    <w:p>
      <w:pPr>
        <w:pStyle w:val="Heading4"/>
      </w:pPr>
      <w:r>
        <w:t xml:space="preserve">4.3.2. Downstream Emissions</w:t>
      </w:r>
    </w:p>
    <w:bookmarkStart w:id="38" w:name="X151fe152adb15164ca6ffe76236a91302f75cb9"/>
    <w:p>
      <w:pPr>
        <w:pStyle w:val="Heading5"/>
      </w:pPr>
      <w:r>
        <w:t xml:space="preserve">a. Downstream Transportation &amp; Distribution (Category 9: Downstream Transportation and Distribution)</w:t>
      </w:r>
    </w:p>
    <w:p>
      <w:pPr>
        <w:pStyle w:val="FirstParagraph"/>
      </w:pPr>
      <w:r>
        <w:t xml:space="preserve">Last-mile delivery within Europe.</w:t>
      </w:r>
    </w:p>
    <w:p>
      <w:pPr>
        <w:numPr>
          <w:ilvl w:val="0"/>
          <w:numId w:val="1009"/>
        </w:numPr>
        <w:pStyle w:val="Compact"/>
      </w:pPr>
      <w:r>
        <w:t xml:space="preserve">Last-Mile Delivery Channel: Road Freight (Light Commercial Vehicle)</w:t>
      </w:r>
    </w:p>
    <w:p>
      <w:pPr>
        <w:numPr>
          <w:ilvl w:val="0"/>
          <w:numId w:val="1009"/>
        </w:numPr>
        <w:pStyle w:val="Compact"/>
      </w:pPr>
      <w:r>
        <w:t xml:space="preserve">Last-Mile Distance: 500 km</w:t>
      </w:r>
    </w:p>
    <w:p>
      <w:pPr>
        <w:numPr>
          <w:ilvl w:val="0"/>
          <w:numId w:val="1009"/>
        </w:numPr>
        <w:pStyle w:val="Compact"/>
      </w:pPr>
      <w:r>
        <w:t xml:space="preserve">Assumed product weight (for transport): 1.5 kg</w:t>
      </w:r>
    </w:p>
    <w:p>
      <w:pPr>
        <w:numPr>
          <w:ilvl w:val="0"/>
          <w:numId w:val="1009"/>
        </w:numPr>
        <w:pStyle w:val="Compact"/>
      </w:pPr>
      <w:r>
        <w:t xml:space="preserve">Road Freight Emission Factor (LCV, example): 0.1 kgCO2e/tonne-km</w:t>
      </w:r>
    </w:p>
    <w:p>
      <w:pPr>
        <w:numPr>
          <w:ilvl w:val="0"/>
          <w:numId w:val="1009"/>
        </w:numPr>
        <w:pStyle w:val="Compact"/>
      </w:pPr>
      <w:r>
        <w:rPr>
          <w:bCs/>
          <w:b/>
        </w:rPr>
        <w:t xml:space="preserve">Road Freight Emissions:</w:t>
      </w:r>
      <w:r>
        <w:t xml:space="preserve"> </w:t>
      </w:r>
      <w:r>
        <w:t xml:space="preserve">(1.5 kg / 1000 kg/tonne) * 500 km * 0.1 kgCO2e/tonne-km = 0.075 kgCO2e/unit</w:t>
      </w:r>
    </w:p>
    <w:p>
      <w:pPr>
        <w:pStyle w:val="FirstParagraph"/>
      </w:pPr>
      <w:r>
        <w:rPr>
          <w:bCs/>
          <w:b/>
        </w:rPr>
        <w:t xml:space="preserve">Subtotal Downstream Transport Emissions:</w:t>
      </w:r>
      <w:r>
        <w:t xml:space="preserve"> </w:t>
      </w:r>
      <w:r>
        <w:t xml:space="preserve">0.075 kgCO2e/unit</w:t>
      </w:r>
    </w:p>
    <w:bookmarkEnd w:id="38"/>
    <w:bookmarkStart w:id="39" w:name="Xec1f25b3327367f89ed7ca2931be3b274235273"/>
    <w:p>
      <w:pPr>
        <w:pStyle w:val="Heading5"/>
      </w:pPr>
      <w:r>
        <w:t xml:space="preserve">b. Use Phase Emissions (Category 11: Use of Sold Products)</w:t>
      </w:r>
    </w:p>
    <w:p>
      <w:pPr>
        <w:pStyle w:val="FirstParagraph"/>
      </w:pPr>
      <w:r>
        <w:t xml:space="preserve">Energy consumption during the product\'s lifespan.</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Use Phase Energy: 10 kWh/year * 5 years = 50 kWh/unit</w:t>
      </w:r>
    </w:p>
    <w:p>
      <w:pPr>
        <w:numPr>
          <w:ilvl w:val="0"/>
          <w:numId w:val="1010"/>
        </w:numPr>
        <w:pStyle w:val="Compact"/>
      </w:pPr>
      <w:r>
        <w:t xml:space="preserve">Average European Grid Emission Factor (example): 0.27 kgCO2e/kWh (source: IEA 2023 average for EU)</w:t>
      </w:r>
    </w:p>
    <w:p>
      <w:pPr>
        <w:numPr>
          <w:ilvl w:val="0"/>
          <w:numId w:val="1010"/>
        </w:numPr>
        <w:pStyle w:val="Compact"/>
      </w:pPr>
      <w:r>
        <w:rPr>
          <w:bCs/>
          <w:b/>
        </w:rPr>
        <w:t xml:space="preserve">Use Phase Emissions:</w:t>
      </w:r>
      <w:r>
        <w:t xml:space="preserve"> </w:t>
      </w:r>
      <w:r>
        <w:t xml:space="preserve">50 kWh/unit * 0.27 kgCO2e/kWh = 13.50 kgCO2e/unit</w:t>
      </w:r>
    </w:p>
    <w:p>
      <w:pPr>
        <w:pStyle w:val="FirstParagraph"/>
      </w:pPr>
      <w:r>
        <w:rPr>
          <w:bCs/>
          <w:b/>
        </w:rPr>
        <w:t xml:space="preserve">Subtotal Use Phase Emissions:</w:t>
      </w:r>
      <w:r>
        <w:t xml:space="preserve"> </w:t>
      </w:r>
      <w:r>
        <w:t xml:space="preserve">13.50 kgCO2e/unit</w:t>
      </w:r>
    </w:p>
    <w:bookmarkEnd w:id="39"/>
    <w:bookmarkStart w:id="40" w:name="Xef5a50b77f3393d66644101c8dfdf47dee19bb3"/>
    <w:p>
      <w:pPr>
        <w:pStyle w:val="Heading5"/>
      </w:pPr>
      <w:r>
        <w:t xml:space="preserve">c. End-of-Life Treatment (Category 12: End-of-Life Treatment of Sold Products)</w:t>
      </w:r>
    </w:p>
    <w:p>
      <w:pPr>
        <w:pStyle w:val="FirstParagraph"/>
      </w:pPr>
      <w:r>
        <w:t xml:space="preserve">Emissions and potential avoided emissions from recycling.</w:t>
      </w:r>
    </w:p>
    <w:p>
      <w:pPr>
        <w:numPr>
          <w:ilvl w:val="0"/>
          <w:numId w:val="1011"/>
        </w:numPr>
        <w:pStyle w:val="Compact"/>
      </w:pPr>
      <w:r>
        <w:t xml:space="preserve">Recyclability Percentage: 85%</w:t>
      </w:r>
    </w:p>
    <w:p>
      <w:pPr>
        <w:numPr>
          <w:ilvl w:val="0"/>
          <w:numId w:val="1011"/>
        </w:numPr>
        <w:pStyle w:val="Compact"/>
      </w:pPr>
      <w:r>
        <w:t xml:space="preserve">Circular/Take-back Programs: Established</w:t>
      </w:r>
    </w:p>
    <w:p>
      <w:pPr>
        <w:numPr>
          <w:ilvl w:val="0"/>
          <w:numId w:val="1011"/>
        </w:numPr>
        <w:pStyle w:val="Compact"/>
      </w:pPr>
      <w:r>
        <w:t xml:space="preserve">Assumed product weight: 1.5 kg</w:t>
      </w:r>
    </w:p>
    <w:p>
      <w:pPr>
        <w:numPr>
          <w:ilvl w:val="0"/>
          <w:numId w:val="1011"/>
        </w:numPr>
        <w:pStyle w:val="Compact"/>
      </w:pPr>
      <w:r>
        <w:t xml:space="preserve">Non-recyclable waste: 1.5 kg * (1 - 0.85) = 0.225 kg</w:t>
      </w:r>
    </w:p>
    <w:p>
      <w:pPr>
        <w:numPr>
          <w:ilvl w:val="0"/>
          <w:numId w:val="1011"/>
        </w:numPr>
        <w:pStyle w:val="Compact"/>
      </w:pPr>
      <w:r>
        <w:t xml:space="preserve">Incineration/Landfill Emission Factor (example): 1.0 kgCO2e/kg for non-recycled waste</w:t>
      </w:r>
    </w:p>
    <w:p>
      <w:pPr>
        <w:numPr>
          <w:ilvl w:val="0"/>
          <w:numId w:val="1011"/>
        </w:numPr>
        <w:pStyle w:val="Compact"/>
      </w:pPr>
      <w:r>
        <w:rPr>
          <w:bCs/>
          <w:b/>
        </w:rPr>
        <w:t xml:space="preserve">EoL Emissions (Disposal):</w:t>
      </w:r>
      <w:r>
        <w:t xml:space="preserve"> </w:t>
      </w:r>
      <w:r>
        <w:t xml:space="preserve">0.225 kg * 1.0 kgCO2e/kg = 0.225 kgCO2e/unit</w:t>
      </w:r>
    </w:p>
    <w:p>
      <w:pPr>
        <w:numPr>
          <w:ilvl w:val="0"/>
          <w:numId w:val="1011"/>
        </w:numPr>
        <w:pStyle w:val="Compact"/>
      </w:pPr>
      <w:r>
        <w:rPr>
          <w:bCs/>
          <w:b/>
        </w:rPr>
        <w:t xml:space="preserve">Avoided Emissions (Recycling):</w:t>
      </w:r>
      <w:r>
        <w:t xml:space="preserve"> </w:t>
      </w:r>
      <w:r>
        <w:t xml:space="preserve">* For the 85% recycled material (1.275 kg), assuming an average avoided emission factor for replacing virgin materials (e.g., 2 kgCO2e/kg for mixed materials, highly variable).</w:t>
      </w:r>
      <w:r>
        <w:t xml:space="preserve"> </w:t>
      </w:r>
      <w:r>
        <w:t xml:space="preserve">* Avoided Emissions: 1.275 kg * 2 kgCO2e/kg = -2.55 kgCO2e/unit</w:t>
      </w:r>
    </w:p>
    <w:p>
      <w:pPr>
        <w:pStyle w:val="FirstParagraph"/>
      </w:pPr>
      <w:r>
        <w:rPr>
          <w:bCs/>
          <w:b/>
        </w:rPr>
        <w:t xml:space="preserve">Subtotal End-of-Life Emissions (Net):</w:t>
      </w:r>
      <w:r>
        <w:t xml:space="preserve"> </w:t>
      </w:r>
      <w:r>
        <w:t xml:space="preserve">0.225 kgCO2e/unit - 2.55 kgCO2e/unit = -2.325 kgCO2e/unit (Net negative due to recycling benefits)</w:t>
      </w:r>
    </w:p>
    <w:bookmarkEnd w:id="40"/>
    <w:bookmarkEnd w:id="41"/>
    <w:bookmarkStart w:id="42" w:name="X4445851c14d44f9a23021f1d53388bca2c4dd3d"/>
    <w:p>
      <w:pPr>
        <w:pStyle w:val="Heading4"/>
      </w:pPr>
      <w:r>
        <w:t xml:space="preserve">4.3.3. Land Sector and Removals (LSR) Standard (2026 Update)</w:t>
      </w:r>
    </w:p>
    <w:p>
      <w:pPr>
        <w:pStyle w:val="FirstParagraph"/>
      </w:pPr>
      <w:r>
        <w:t xml:space="preserve">The 2026 LSR Standard is applied to account for any land-based emissions or removals associated with the product\'s value chain. For kslguiwzfd, without specific land-use changes directly attributable to material sourcing (e.g., deforestation for specific components), direct LSR impacts are considered negligible at this level of detail. However, if materials like timber or bio-based plastics were used, their specific land-use impacts and carbon sequestration potentials would be rigorously quantified here. The established take-back program can also contribute to circularity, potentially reducing the demand for virgin resources and indirectly mitigating land-use change impacts.</w:t>
      </w:r>
    </w:p>
    <w:p>
      <w:pPr>
        <w:pStyle w:val="BodyText"/>
      </w:pPr>
      <w:r>
        <w:rPr>
          <w:bCs/>
          <w:b/>
        </w:rPr>
        <w:t xml:space="preserve">Total LSR Impact:</w:t>
      </w:r>
      <w:r>
        <w:t xml:space="preserve"> </w:t>
      </w:r>
      <w:r>
        <w:t xml:space="preserve">0.00 kgCO2e/unit (Assumed negligible direct land-use change for this product, but acknowledged as a critical reporting area).</w:t>
      </w:r>
    </w:p>
    <w:bookmarkEnd w:id="42"/>
    <w:bookmarkEnd w:id="43"/>
    <w:bookmarkStart w:id="44"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(kgCO2e/unit)</w:t>
            </w:r>
          </w:p>
        </w:tc>
      </w:tr>
      <w:tr>
        <w:tc>
          <w:tcPr/>
          <w:p>
            <w:pPr>
              <w:pStyle w:val="Compact"/>
              <w:jc w:val="left"/>
            </w:pPr>
            <w:r>
              <w:rPr>
                <w:bCs/>
                <w:b/>
              </w:rPr>
              <w:t xml:space="preserve">Scope 1 (Direct Operations)</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0.525</w:t>
            </w:r>
          </w:p>
        </w:tc>
      </w:tr>
      <w:tr>
        <w:tc>
          <w:tcPr>
            <w:gridSpan w:val="2"/>
          </w:tcPr>
          <w:p>
            <w:pPr>
              <w:pStyle w:val="Compact"/>
              <w:jc w:val="left"/>
            </w:pPr>
            <w:r>
              <w:rPr>
                <w:bCs/>
                <w:b/>
              </w:rPr>
              <w:t xml:space="preserve">Scope 3 (Value Chain)</w:t>
            </w:r>
          </w:p>
        </w:tc>
      </w:tr>
      <w:tr>
        <w:tc>
          <w:tcPr/>
          <w:p>
            <w:pPr>
              <w:pStyle w:val="Compact"/>
              <w:jc w:val="left"/>
            </w:pPr>
            <w:r>
              <w:t xml:space="preserve">Upstream: Materials</w:t>
            </w:r>
          </w:p>
        </w:tc>
        <w:tc>
          <w:tcPr/>
          <w:p>
            <w:pPr>
              <w:pStyle w:val="Compact"/>
              <w:jc w:val="left"/>
            </w:pPr>
            <w:r>
              <w:t xml:space="preserve">15.53</w:t>
            </w:r>
          </w:p>
        </w:tc>
      </w:tr>
      <w:tr>
        <w:tc>
          <w:tcPr/>
          <w:p>
            <w:pPr>
              <w:pStyle w:val="Compact"/>
              <w:jc w:val="left"/>
            </w:pPr>
            <w:r>
              <w:t xml:space="preserve">Upstream: Transport</w:t>
            </w:r>
          </w:p>
        </w:tc>
        <w:tc>
          <w:tcPr/>
          <w:p>
            <w:pPr>
              <w:pStyle w:val="Compact"/>
              <w:jc w:val="left"/>
            </w:pPr>
            <w:r>
              <w:t xml:space="preserve">0.225</w:t>
            </w:r>
          </w:p>
        </w:tc>
      </w:tr>
      <w:tr>
        <w:tc>
          <w:tcPr/>
          <w:p>
            <w:pPr>
              <w:pStyle w:val="Compact"/>
              <w:jc w:val="left"/>
            </w:pPr>
            <w:r>
              <w:t xml:space="preserve">Downstream: Transport</w:t>
            </w:r>
          </w:p>
        </w:tc>
        <w:tc>
          <w:tcPr/>
          <w:p>
            <w:pPr>
              <w:pStyle w:val="Compact"/>
              <w:jc w:val="left"/>
            </w:pPr>
            <w:r>
              <w:t xml:space="preserve">0.075</w:t>
            </w:r>
          </w:p>
        </w:tc>
      </w:tr>
      <w:tr>
        <w:tc>
          <w:tcPr/>
          <w:p>
            <w:pPr>
              <w:pStyle w:val="Compact"/>
              <w:jc w:val="left"/>
            </w:pPr>
            <w:r>
              <w:t xml:space="preserve">Downstream: Use Phase</w:t>
            </w:r>
          </w:p>
        </w:tc>
        <w:tc>
          <w:tcPr/>
          <w:p>
            <w:pPr>
              <w:pStyle w:val="Compact"/>
              <w:jc w:val="left"/>
            </w:pPr>
            <w:r>
              <w:t xml:space="preserve">13.50</w:t>
            </w:r>
          </w:p>
        </w:tc>
      </w:tr>
      <w:tr>
        <w:tc>
          <w:tcPr/>
          <w:p>
            <w:pPr>
              <w:pStyle w:val="Compact"/>
              <w:jc w:val="left"/>
            </w:pPr>
            <w:r>
              <w:t xml:space="preserve">Downstream: End-of-Life (Net)</w:t>
            </w:r>
          </w:p>
        </w:tc>
        <w:tc>
          <w:tcPr/>
          <w:p>
            <w:pPr>
              <w:pStyle w:val="Compact"/>
              <w:jc w:val="left"/>
            </w:pPr>
            <w:r>
              <w:t xml:space="preserve">-2.325</w:t>
            </w:r>
          </w:p>
        </w:tc>
      </w:tr>
      <w:tr>
        <w:tc>
          <w:tcPr/>
          <w:p>
            <w:pPr>
              <w:pStyle w:val="Compact"/>
              <w:jc w:val="left"/>
            </w:pPr>
            <w:r>
              <w:t xml:space="preserve">LSR Standard Impact</w:t>
            </w:r>
          </w:p>
        </w:tc>
        <w:tc>
          <w:tcPr/>
          <w:p>
            <w:pPr>
              <w:pStyle w:val="Compact"/>
              <w:jc w:val="left"/>
            </w:pPr>
            <w:r>
              <w:t xml:space="preserve">0.00</w:t>
            </w:r>
          </w:p>
        </w:tc>
      </w:tr>
      <w:tr>
        <w:tc>
          <w:tcPr/>
          <w:p>
            <w:pPr>
              <w:pStyle w:val="Compact"/>
              <w:jc w:val="left"/>
            </w:pPr>
            <w:r>
              <w:t xml:space="preserve">TOTAL PCF</w:t>
            </w:r>
          </w:p>
        </w:tc>
        <w:tc>
          <w:tcPr/>
          <w:p>
            <w:pPr>
              <w:pStyle w:val="Compact"/>
              <w:jc w:val="left"/>
            </w:pPr>
            <w:r>
              <w:t xml:space="preserve">27.53</w:t>
            </w:r>
          </w:p>
        </w:tc>
      </w:tr>
    </w:tbl>
    <w:p>
      <w:pPr>
        <w:pStyle w:val="BodyText"/>
      </w:pPr>
      <w:r>
        <w:rPr>
          <w:bCs/>
          <w:b/>
        </w:rPr>
        <w:t xml:space="preserve">Overall Product Carbon Footprint (PCF) for kslguiwzfd: 27.53 kgCO2e/unit</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identification"/>
    <w:p>
      <w:pPr>
        <w:pStyle w:val="Heading3"/>
      </w:pPr>
      <w:r>
        <w:t xml:space="preserve">5.1. Emission Hotspots Identification</w:t>
      </w:r>
    </w:p>
    <w:p>
      <w:pPr>
        <w:pStyle w:val="FirstParagraph"/>
      </w:pPr>
      <w:r>
        <w:t xml:space="preserve">The analysis reveals the following major emission hotspots for kslguiwzfd:</w:t>
      </w:r>
    </w:p>
    <w:p>
      <w:pPr>
        <w:numPr>
          <w:ilvl w:val="0"/>
          <w:numId w:val="1012"/>
        </w:numPr>
        <w:pStyle w:val="Compact"/>
      </w:pPr>
      <w:r>
        <w:rPr>
          <w:bCs/>
          <w:b/>
        </w:rPr>
        <w:t xml:space="preserve">Materials (Scope 3 Upstream):</w:t>
      </w:r>
      <w:r>
        <w:t xml:space="preserve"> </w:t>
      </w:r>
      <w:r>
        <w:t xml:space="preserve">With 15.53 kgCO2e/unit, the embodied emissions in raw materials, particularly Aluminium Alloy Casing and Silicon Microchip, represent a significant portion of the total footprint. This highlights the importance of sustainable sourcing and material efficiency.</w:t>
      </w:r>
    </w:p>
    <w:p>
      <w:pPr>
        <w:numPr>
          <w:ilvl w:val="0"/>
          <w:numId w:val="1012"/>
        </w:numPr>
        <w:pStyle w:val="Compact"/>
      </w:pPr>
      <w:r>
        <w:rPr>
          <w:bCs/>
          <w:b/>
        </w:rPr>
        <w:t xml:space="preserve">Use Phase (Scope 3 Downstream):</w:t>
      </w:r>
      <w:r>
        <w:t xml:space="preserve"> </w:t>
      </w:r>
      <w:r>
        <w:t xml:space="preserve">The product\'s energy consumption during its 5-year lifespan contributes 13.50 kgCO2e/unit, making it the second largest hotspot. This emphasizes the need for energy-efficient design and potentially encouraging use with renewable energy sources.</w:t>
      </w:r>
    </w:p>
    <w:p>
      <w:pPr>
        <w:numPr>
          <w:ilvl w:val="0"/>
          <w:numId w:val="1012"/>
        </w:numPr>
        <w:pStyle w:val="Compact"/>
      </w:pPr>
      <w:r>
        <w:rPr>
          <w:bCs/>
          <w:b/>
        </w:rPr>
        <w:t xml:space="preserve">End-of-Life (Scope 3 Downstream):</w:t>
      </w:r>
      <w:r>
        <w:t xml:space="preserve"> </w:t>
      </w:r>
      <w:r>
        <w:t xml:space="preserve">The net negative emissions (-2.325 kgCO2e/unit) from end-of-life treatment, driven by a high recyclability percentage and established take-back programs, demonstrate the positive impact of circular economy initiatives.</w:t>
      </w:r>
    </w:p>
    <w:p>
      <w:pPr>
        <w:numPr>
          <w:ilvl w:val="0"/>
          <w:numId w:val="1012"/>
        </w:numPr>
        <w:pStyle w:val="Compact"/>
      </w:pPr>
      <w:r>
        <w:rPr>
          <w:bCs/>
          <w:b/>
        </w:rPr>
        <w:t xml:space="preserve">Production Energy (Scope 2):</w:t>
      </w:r>
      <w:r>
        <w:t xml:space="preserve"> </w:t>
      </w:r>
      <w:r>
        <w:t xml:space="preserve">While significant, the 70% renewable energy usage at the production facility helps mitigate what could otherwise be a much larger hotspot.</w:t>
      </w:r>
    </w:p>
    <w:bookmarkEnd w:id="46"/>
    <w:bookmarkStart w:id="47" w:name="reliability-and-data-quality"/>
    <w:p>
      <w:pPr>
        <w:pStyle w:val="Heading3"/>
      </w:pPr>
      <w:r>
        <w:t xml:space="preserve">5.2. Reliability and Data Quality</w:t>
      </w:r>
    </w:p>
    <w:p>
      <w:pPr>
        <w:pStyle w:val="FirstParagraph"/>
      </w:pPr>
      <w:r>
        <w:t xml:space="preserve">The reliability of this PCF analysis is assessed as good, benefiting from:</w:t>
      </w:r>
    </w:p>
    <w:p>
      <w:pPr>
        <w:numPr>
          <w:ilvl w:val="0"/>
          <w:numId w:val="1013"/>
        </w:numPr>
        <w:pStyle w:val="Compact"/>
      </w:pPr>
      <w:r>
        <w:t xml:space="preserve">Adherence to the GHG Protocol Product Standard, ensuring methodological consistency.</w:t>
      </w:r>
    </w:p>
    <w:p>
      <w:pPr>
        <w:numPr>
          <w:ilvl w:val="0"/>
          <w:numId w:val="1013"/>
        </w:numPr>
        <w:pStyle w:val="Compact"/>
      </w:pPr>
      <w:r>
        <w:t xml:space="preserve">Utilization of specific company data (where provided as parameters) for key inputs like energy usage and end-of-life scenarios.</w:t>
      </w:r>
    </w:p>
    <w:p>
      <w:pPr>
        <w:numPr>
          <w:ilvl w:val="0"/>
          <w:numId w:val="1013"/>
        </w:numPr>
        <w:pStyle w:val="Compact"/>
      </w:pPr>
      <w:r>
        <w:t xml:space="preserve">Application of representative industry-average emission factors where primary data was unavailable.</w:t>
      </w:r>
    </w:p>
    <w:p>
      <w:pPr>
        <w:pStyle w:val="FirstParagraph"/>
      </w:pPr>
      <w:r>
        <w:t xml:space="preserve">Areas for potential improvement in data quality for future assessments include:</w:t>
      </w:r>
    </w:p>
    <w:p>
      <w:pPr>
        <w:numPr>
          <w:ilvl w:val="0"/>
          <w:numId w:val="1014"/>
        </w:numPr>
        <w:pStyle w:val="Compact"/>
      </w:pPr>
      <w:r>
        <w:t xml:space="preserve">More granular, supplier-specific primary data for all raw materials, ideally integrating actual data from the \'eodrokft\' parameter when it contains structured information.</w:t>
      </w:r>
    </w:p>
    <w:p>
      <w:pPr>
        <w:numPr>
          <w:ilvl w:val="0"/>
          <w:numId w:val="1014"/>
        </w:numPr>
        <w:pStyle w:val="Compact"/>
      </w:pPr>
      <w:r>
        <w:t xml:space="preserve">Actual energy mix data for the European use phase, rather than a regional average.</w:t>
      </w:r>
    </w:p>
    <w:p>
      <w:pPr>
        <w:numPr>
          <w:ilvl w:val="0"/>
          <w:numId w:val="1014"/>
        </w:numPr>
        <w:pStyle w:val="Compact"/>
      </w:pPr>
      <w:r>
        <w:t xml:space="preserve">Specific data on the efficiency and actual outcomes of the circular/take-back programs.</w:t>
      </w:r>
    </w:p>
    <w:bookmarkEnd w:id="47"/>
    <w:bookmarkStart w:id="48" w:name="recommendations-for-emission-reduction"/>
    <w:p>
      <w:pPr>
        <w:pStyle w:val="Heading3"/>
      </w:pPr>
      <w:r>
        <w:t xml:space="preserve">5.3. Recommendations for Emission Reduction</w:t>
      </w:r>
    </w:p>
    <w:p>
      <w:pPr>
        <w:numPr>
          <w:ilvl w:val="0"/>
          <w:numId w:val="1015"/>
        </w:numPr>
        <w:pStyle w:val="Compact"/>
      </w:pPr>
      <w:r>
        <w:rPr>
          <w:bCs/>
          <w:b/>
        </w:rPr>
        <w:t xml:space="preserve">Material Optimization:</w:t>
      </w:r>
      <w:r>
        <w:t xml:space="preserve"> </w:t>
      </w:r>
      <w:r>
        <w:t xml:space="preserve">Explore alternative, lower-carbon materials for high-impact components like aluminium and silicon. Investigate opportunities for increased recycled content in material inputs.</w:t>
      </w:r>
    </w:p>
    <w:p>
      <w:pPr>
        <w:numPr>
          <w:ilvl w:val="0"/>
          <w:numId w:val="1015"/>
        </w:numPr>
        <w:pStyle w:val="Compact"/>
      </w:pPr>
      <w:r>
        <w:rPr>
          <w:bCs/>
          <w:b/>
        </w:rPr>
        <w:t xml:space="preserve">Energy Efficiency in Use:</w:t>
      </w:r>
      <w:r>
        <w:t xml:space="preserve"> </w:t>
      </w:r>
      <w:r>
        <w:t xml:space="preserve">Innovate product design to reduce energy consumption during the use phase. Provide users with clear information on energy-efficient usage and highlight the benefits of using renewable energy at home.</w:t>
      </w:r>
    </w:p>
    <w:p>
      <w:pPr>
        <w:numPr>
          <w:ilvl w:val="0"/>
          <w:numId w:val="1015"/>
        </w:numPr>
        <w:pStyle w:val="Compact"/>
      </w:pPr>
      <w:r>
        <w:rPr>
          <w:bCs/>
          <w:b/>
        </w:rPr>
        <w:t xml:space="preserve">Supply Chain Engagement:</w:t>
      </w:r>
      <w:r>
        <w:t xml:space="preserve"> </w:t>
      </w:r>
      <w:r>
        <w:t xml:space="preserve">Collaborate with key suppliers to improve their environmental performance and gather more specific, primary emission data for purchased goods and services.</w:t>
      </w:r>
    </w:p>
    <w:p>
      <w:pPr>
        <w:numPr>
          <w:ilvl w:val="0"/>
          <w:numId w:val="1015"/>
        </w:numPr>
        <w:pStyle w:val="Compact"/>
      </w:pPr>
      <w:r>
        <w:rPr>
          <w:bCs/>
          <w:b/>
        </w:rPr>
        <w:t xml:space="preserve">Circular Economy Enhancement:</w:t>
      </w:r>
      <w:r>
        <w:t xml:space="preserve"> </w:t>
      </w:r>
      <w:r>
        <w:t xml:space="preserve">Continue to strengthen the existing take-back programs and explore avenues for product refurbishment or remanufacturing to extend product lifespans further.</w:t>
      </w:r>
    </w:p>
    <w:p>
      <w:r>
        <w:pict>
          <v:rect style="width:0;height:1.5pt" o:hralign="center" o:hrstd="t" o:hr="t"/>
        </w:pict>
      </w:r>
    </w:p>
    <w:p>
      <w:pPr>
        <w:pStyle w:val="FirstParagraph"/>
      </w:pPr>
      <w:r>
        <w:t xml:space="preserve">Confidential - Internal Use Only | Page</w:t>
      </w:r>
      <w:r>
        <w:t xml:space="preserve"> </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kslguiwzfd</dc:title>
  <dc:creator/>
  <dc:description>Detailed Product Carbon Footprint (PCF) analysis for kslguiwzfd by mhowesoqjj, adhering to GHG Protocol standards and 2026 LSR update.</dc:description>
  <cp:keywords/>
  <dcterms:created xsi:type="dcterms:W3CDTF">2026-05-30T16:57:38Z</dcterms:created>
  <dcterms:modified xsi:type="dcterms:W3CDTF">2026-05-30T16:57:38Z</dcterms:modified>
</cp:coreProperties>
</file>

<file path=docProps/custom.xml><?xml version="1.0" encoding="utf-8"?>
<Properties xmlns="http://schemas.openxmlformats.org/officeDocument/2006/custom-properties" xmlns:vt="http://schemas.openxmlformats.org/officeDocument/2006/docPropsVTypes"/>
</file>