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krryloulit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krryloulit</w:t>
      </w:r>
    </w:p>
    <w:p>
      <w:pPr>
        <w:pStyle w:val="BodyText"/>
      </w:pPr>
      <w:r>
        <w:rPr>
          <w:bCs/>
          <w:b/>
        </w:rPr>
        <w:t xml:space="preserve">Company Name:</w:t>
      </w:r>
      <w:r>
        <w:t xml:space="preserve"> </w:t>
      </w:r>
      <w:r>
        <w:t xml:space="preserve">ogexjomqxr</w:t>
      </w:r>
    </w:p>
    <w:p>
      <w:pPr>
        <w:pStyle w:val="BodyText"/>
      </w:pPr>
      <w:r>
        <w:rPr>
          <w:bCs/>
          <w:b/>
        </w:rPr>
        <w:t xml:space="preserve">Senior Sustainability Consultant:</w:t>
      </w:r>
      <w:r>
        <w:t xml:space="preserve"> </w:t>
      </w:r>
      <w:r>
        <w:t xml:space="preserve">vfgkgdhxwr</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w:t>
      </w:r>
      <w:r>
        <w:rPr>
          <w:iCs/>
          <w:i/>
        </w:rPr>
        <w:t xml:space="preserve"> </w:t>
      </w:r>
      <w:r>
        <w:rPr>
          <w:iCs/>
          <w:i/>
        </w:rPr>
        <w:t xml:space="preserve">Due to the placeholder nature of some input parameters (e.g., specific BOM details, transport modes,</w:t>
      </w:r>
      <w:r>
        <w:rPr>
          <w:iCs/>
          <w:i/>
        </w:rPr>
        <w:t xml:space="preserve"> </w:t>
      </w:r>
      <w:r>
        <w:rPr>
          <w:iCs/>
          <w:i/>
        </w:rPr>
        <w:t xml:space="preserve">distances, energy usage, and end-of-life scenarios), simulated data and representative emission factors</w:t>
      </w:r>
      <w:r>
        <w:rPr>
          <w:iCs/>
          <w:i/>
        </w:rPr>
        <w:t xml:space="preserve"> </w:t>
      </w:r>
      <w:r>
        <w:rPr>
          <w:iCs/>
          <w:i/>
        </w:rPr>
        <w:t xml:space="preserve">have been utilized to illustrate the methodology and potential impact areas. While diligent efforts have</w:t>
      </w:r>
      <w:r>
        <w:rPr>
          <w:iCs/>
          <w:i/>
        </w:rPr>
        <w:t xml:space="preserve"> </w:t>
      </w:r>
      <w:r>
        <w:rPr>
          <w:iCs/>
          <w:i/>
        </w:rPr>
        <w:t xml:space="preserve">been made to reflect accurate calculations, the figures presented herein are illustrative and may</w:t>
      </w:r>
      <w:r>
        <w:rPr>
          <w:iCs/>
          <w:i/>
        </w:rPr>
        <w:t xml:space="preserve"> </w:t>
      </w:r>
      <w:r>
        <w:rPr>
          <w:iCs/>
          <w:i/>
        </w:rPr>
        <w:t xml:space="preserve">require primary data for precise quantification.</w:t>
      </w:r>
    </w:p>
    <w:bookmarkEnd w:id="20"/>
    <w:p>
      <w:pPr>
        <w:pStyle w:val="BodyText"/>
      </w:pPr>
      <w:r>
        <w:t xml:space="preserve">Carbon Footprint Report for krryloulit | Generated Date: June 1, 2026</w:t>
      </w:r>
    </w:p>
    <w:bookmarkStart w:id="48" w:name="executive-summary"/>
    <w:p>
      <w:pPr>
        <w:pStyle w:val="Heading1"/>
      </w:pPr>
      <w:r>
        <w:t xml:space="preserve">Executive Summary</w:t>
      </w:r>
    </w:p>
    <w:p>
      <w:pPr>
        <w:pStyle w:val="FirstParagraph"/>
      </w:pPr>
      <w:r>
        <w:t xml:space="preserve">This report presents a high-detail Product Carbon Footprint (PCF) analysis for krryloulit, manufactured by ogexjomqxr. The analysis was conducted by vfgkgdhxwr, Senior Sustainability Consultant, strictly adhering to the GHG Protocol, including the 2026 Land Sector and Removals (LSR) Standard and ensuring over 95% Scope 3 coverage. The functional unit is defined as 1.0 unit of krryloulit, with a system boundary focused on factory_gate but extended to include the full lifecycle (cradle-to-grave) as required for comprehensive Scope 3 accounting.</w:t>
      </w:r>
    </w:p>
    <w:p>
      <w:pPr>
        <w:pStyle w:val="BodyText"/>
      </w:pPr>
      <w:r>
        <w:t xml:space="preserve">The assessment identifies key emission hotspots across the product\'s lifecycle, from raw material acquisition and manufacturing to use-phase energy consumption and end-of-life treatment. The primary focus for final production is China, with a supply chain emphasis on Europe. This report provides a foundational understanding for ogexjomqxr to identify reduction opportunities and enhance its sustainability strategy.</w:t>
      </w:r>
    </w:p>
    <w:p>
      <w:r>
        <w:pict>
          <v:rect style="width:0;height:1.5pt" o:hralign="center" o:hrstd="t" o:hr="t"/>
        </w:pict>
      </w:r>
    </w:p>
    <w:bookmarkStart w:id="26" w:name="introduction-and-scope-definition"/>
    <w:p>
      <w:pPr>
        <w:pStyle w:val="Heading2"/>
      </w:pPr>
      <w:r>
        <w:t xml:space="preserve">1. Introduction and Scope Definition</w:t>
      </w:r>
    </w:p>
    <w:p>
      <w:pPr>
        <w:pStyle w:val="FirstParagraph"/>
      </w:pPr>
      <w:r>
        <w:t xml:space="preserve">The Product Carbon Footprint (PCF) for krryloulit quantifies the total greenhouse gas (GHG) emissions associated with its entire lifecycle. This analysis follows the five-step methodology: Define Scope, Map Lifecycle, Collect Data, Calculate Emissions, and Review &amp; Report, ensuring full compliance with the GHG Protocol.</w:t>
      </w:r>
    </w:p>
    <w:bookmarkStart w:id="21"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krryloulit. This unit serves as the reference basis for all quantified environmental impacts.</w:t>
      </w:r>
    </w:p>
    <w:bookmarkEnd w:id="21"/>
    <w:bookmarkStart w:id="22" w:name="system-boundary"/>
    <w:p>
      <w:pPr>
        <w:pStyle w:val="Heading3"/>
      </w:pPr>
      <w:r>
        <w:t xml:space="preserve">1.2. System Boundary</w:t>
      </w:r>
    </w:p>
    <w:p>
      <w:pPr>
        <w:pStyle w:val="FirstParagraph"/>
      </w:pPr>
      <w:r>
        <w:t xml:space="preserve">The system boundary for this PCF analysis is "cradle-to-grave," extending beyond the initially mentioned "factory_gate" to encompass all significant lifecycle stages. This comprehensive approach is crucial for achieving high Scope 3 coverage and providing a holistic view of the product\'s environmental impact.</w:t>
      </w:r>
    </w:p>
    <w:p>
      <w:pPr>
        <w:numPr>
          <w:ilvl w:val="0"/>
          <w:numId w:val="1002"/>
        </w:numPr>
        <w:pStyle w:val="Compact"/>
      </w:pPr>
      <w:r>
        <w:rPr>
          <w:bCs/>
          <w:b/>
        </w:rPr>
        <w:t xml:space="preserve">Upstream (Scope 3):</w:t>
      </w:r>
      <w:r>
        <w:t xml:space="preserve"> </w:t>
      </w:r>
      <w:r>
        <w:t xml:space="preserve">Raw material extraction, processing, and transportation to the manufacturing facility.</w:t>
      </w:r>
    </w:p>
    <w:p>
      <w:pPr>
        <w:numPr>
          <w:ilvl w:val="0"/>
          <w:numId w:val="1002"/>
        </w:numPr>
        <w:pStyle w:val="Compact"/>
      </w:pPr>
      <w:r>
        <w:rPr>
          <w:bCs/>
          <w:b/>
        </w:rPr>
        <w:t xml:space="preserve">Core (Scope 1 &amp; 2):</w:t>
      </w:r>
      <w:r>
        <w:t xml:space="preserve"> </w:t>
      </w:r>
      <w:r>
        <w:t xml:space="preserve">Manufacturing processes, including direct emissions (Scope 1) and purchased electricity consumption (Scope 2).</w:t>
      </w:r>
    </w:p>
    <w:p>
      <w:pPr>
        <w:numPr>
          <w:ilvl w:val="0"/>
          <w:numId w:val="1002"/>
        </w:numPr>
        <w:pStyle w:val="Compact"/>
      </w:pPr>
      <w:r>
        <w:rPr>
          <w:bCs/>
          <w:b/>
        </w:rPr>
        <w:t xml:space="preserve">Downstream (Scope 3):</w:t>
      </w:r>
      <w:r>
        <w:t xml:space="preserve"> </w:t>
      </w:r>
      <w:r>
        <w:t xml:space="preserve">Transportation of the finished product to the customer, product use phase, and end-of-life treatment (disposal, recycling, recovery).</w:t>
      </w:r>
    </w:p>
    <w:bookmarkEnd w:id="22"/>
    <w:bookmarkStart w:id="23"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significant material sourcing or intermediate processing from Europe).</w:t>
      </w:r>
    </w:p>
    <w:p>
      <w:pPr>
        <w:numPr>
          <w:ilvl w:val="0"/>
          <w:numId w:val="1003"/>
        </w:numPr>
        <w:pStyle w:val="Compact"/>
      </w:pPr>
      <w:r>
        <w:rPr>
          <w:bCs/>
          <w:b/>
        </w:rPr>
        <w:t xml:space="preserve">Use Phase/End-of-Life:</w:t>
      </w:r>
      <w:r>
        <w:t xml:space="preserve"> </w:t>
      </w:r>
      <w:r>
        <w:t xml:space="preserve">Assumed to be primarily in European markets for consistency with supply chain focus.</w:t>
      </w:r>
    </w:p>
    <w:bookmarkEnd w:id="23"/>
    <w:bookmarkStart w:id="24" w:name="accounting-standard"/>
    <w:p>
      <w:pPr>
        <w:pStyle w:val="Heading3"/>
      </w:pPr>
      <w:r>
        <w:t xml:space="preserve">1.4. Accounting Standard</w:t>
      </w:r>
    </w:p>
    <w:p>
      <w:pPr>
        <w:numPr>
          <w:ilvl w:val="0"/>
          <w:numId w:val="1004"/>
        </w:numPr>
        <w:pStyle w:val="Compact"/>
      </w:pPr>
      <w:r>
        <w:t xml:space="preserve">This PCF analysis is conducted in full accordance with the</w:t>
      </w:r>
      <w:r>
        <w:t xml:space="preserve"> </w:t>
      </w:r>
      <w:r>
        <w:rPr>
          <w:bCs/>
          <w:b/>
        </w:rPr>
        <w:t xml:space="preserve">GHG Protocol Product Standard</w:t>
      </w:r>
      <w:r>
        <w:t xml:space="preserve">.</w:t>
      </w:r>
    </w:p>
    <w:p>
      <w:pPr>
        <w:numPr>
          <w:ilvl w:val="0"/>
          <w:numId w:val="1004"/>
        </w:numPr>
        <w:pStyle w:val="Compact"/>
      </w:pPr>
      <w:r>
        <w:rPr>
          <w:bCs/>
          <w:b/>
        </w:rPr>
        <w:t xml:space="preserve">2026 LSR Update Integration:</w:t>
      </w:r>
      <w:r>
        <w:t xml:space="preserve"> </w:t>
      </w:r>
      <w:r>
        <w:t xml:space="preserve">The Land Sector and Removals (LSR) Standard has been conceptually applied to account for potential land use change emissions and carbon removals associated with raw material sourcing, where applicable and supported by available data. This is particularly relevant for bio-based materials or materials from land-intensive processes.</w:t>
      </w:r>
    </w:p>
    <w:bookmarkEnd w:id="24"/>
    <w:bookmarkStart w:id="25" w:name="allocation"/>
    <w:p>
      <w:pPr>
        <w:pStyle w:val="Heading3"/>
      </w:pPr>
      <w:r>
        <w:t xml:space="preserve">1.5. Allocation</w:t>
      </w:r>
    </w:p>
    <w:p>
      <w:pPr>
        <w:pStyle w:val="FirstParagraph"/>
      </w:pPr>
      <w:r>
        <w:t xml:space="preserve">Emissions are allocated to the functional unit primarily on a mass basis for material inputs and proportionally for energy consumption and transportation based on the product\'s share of total activities.</w:t>
      </w:r>
    </w:p>
    <w:p>
      <w:r>
        <w:pict>
          <v:rect style="width:0;height:1.5pt" o:hralign="center" o:hrstd="t" o:hr="t"/>
        </w:pict>
      </w:r>
    </w:p>
    <w:bookmarkEnd w:id="25"/>
    <w:bookmarkEnd w:id="26"/>
    <w:bookmarkStart w:id="32" w:name="X1a4f9f8d432a3b187db5d96348c0977937c2d9a"/>
    <w:p>
      <w:pPr>
        <w:pStyle w:val="Heading2"/>
      </w:pPr>
      <w:r>
        <w:t xml:space="preserve">2. Lifecycle Inventory (LCI) Stages and Data Collection</w:t>
      </w:r>
    </w:p>
    <w:p>
      <w:pPr>
        <w:pStyle w:val="FirstParagraph"/>
      </w:pPr>
      <w:r>
        <w:t xml:space="preserve">This section details the inputs and outputs across the lifecycle stages of krryloulit, including material and energy flows. Due to the placeholder nature of some input parameters, specific values for the Detailed Bill of Materials (BOM), transport, and energy are simulated for illustrative purposes.</w:t>
      </w:r>
    </w:p>
    <w:bookmarkStart w:id="27" w:name="X6abc7dadc3859f72a3579eec758838261550242"/>
    <w:p>
      <w:pPr>
        <w:pStyle w:val="Heading3"/>
      </w:pPr>
      <w:r>
        <w:t xml:space="preserve">2.1. Bill of Materials (BOM) &amp; Raw Material Acquisition (Scope 3, Category 1)</w:t>
      </w:r>
    </w:p>
    <w:p>
      <w:pPr>
        <w:pStyle w:val="FirstParagraph"/>
      </w:pPr>
      <w:r>
        <w:t xml:space="preserve">The following simulated Bill of Materials (BOM) for krryloulit has been used, incorporating representative emission factors. These factors are adapted from industry averages (e.g., Ecoinvent/DEFRA equivalents) for the purpose of this illustrative report. The total product weight is estimated to be the sum of these material quantities.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4.50</w:t>
            </w:r>
          </w:p>
        </w:tc>
        <w:tc>
          <w:tcPr/>
          <w:p>
            <w:pPr>
              <w:pStyle w:val="Compact"/>
              <w:jc w:val="left"/>
            </w:pPr>
            <w:r>
              <w:t xml:space="preserve">3.60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10.00</w:t>
            </w:r>
          </w:p>
        </w:tc>
        <w:tc>
          <w:tcPr/>
          <w:p>
            <w:pPr>
              <w:pStyle w:val="Compact"/>
              <w:jc w:val="left"/>
            </w:pPr>
            <w:r>
              <w:t xml:space="preserve">3.00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12.00</w:t>
            </w:r>
          </w:p>
        </w:tc>
        <w:tc>
          <w:tcPr/>
          <w:p>
            <w:pPr>
              <w:pStyle w:val="Compact"/>
              <w:jc w:val="left"/>
            </w:pPr>
            <w:r>
              <w:t xml:space="preserve">1.80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Cell 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3.00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0.18</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0.20</w:t>
            </w:r>
          </w:p>
        </w:tc>
      </w:tr>
      <w:tr>
        <w:tc>
          <w:tcPr>
            <w:gridSpan w:val="7"/>
          </w:tcPr>
          <w:p>
            <w:pPr>
              <w:pStyle w:val="Compact"/>
              <w:jc w:val="right"/>
            </w:pPr>
            <w:r>
              <w:t xml:space="preserve">Total Material Weight (kg):</w:t>
            </w:r>
          </w:p>
        </w:tc>
        <w:tc>
          <w:tcPr/>
          <w:p>
            <w:pPr>
              <w:pStyle w:val="Compact"/>
              <w:jc w:val="left"/>
            </w:pPr>
            <w:r>
              <w:t xml:space="preserve">1.75</w:t>
            </w:r>
          </w:p>
        </w:tc>
      </w:tr>
      <w:tr>
        <w:tc>
          <w:tcPr>
            <w:gridSpan w:val="7"/>
          </w:tcPr>
          <w:p>
            <w:pPr>
              <w:pStyle w:val="Compact"/>
              <w:jc w:val="right"/>
            </w:pPr>
            <w:r>
              <w:t xml:space="preserve">Total Material Emissions (kg CO2e):</w:t>
            </w:r>
          </w:p>
        </w:tc>
        <w:tc>
          <w:tcPr/>
          <w:p>
            <w:pPr>
              <w:pStyle w:val="Compact"/>
              <w:jc w:val="left"/>
            </w:pPr>
            <w:r>
              <w:t xml:space="preserve">11.78</w:t>
            </w:r>
          </w:p>
        </w:tc>
      </w:tr>
    </w:tbl>
    <w:p>
      <w:pPr>
        <w:pStyle w:val="BodyText"/>
      </w:pPr>
      <w:r>
        <w:rPr>
          <w:iCs/>
          <w:i/>
        </w:rPr>
        <w:t xml:space="preserve">Note: The "Total Carbon (kg CO2e)" for each BOM item is derived directly from the simulated "Qty" and "Emission Factor" provided, as per the user\'s explicit instruction.</w:t>
      </w:r>
    </w:p>
    <w:bookmarkEnd w:id="27"/>
    <w:bookmarkStart w:id="28" w:name="manufacturingproduction-scope-1-2-3"/>
    <w:p>
      <w:pPr>
        <w:pStyle w:val="Heading3"/>
      </w:pPr>
      <w:r>
        <w:t xml:space="preserve">2.2. Manufacturing/Production (Scope 1, 2, &amp; 3)</w:t>
      </w:r>
    </w:p>
    <w:p>
      <w:pPr>
        <w:pStyle w:val="FirstParagraph"/>
      </w:pPr>
      <w:r>
        <w:t xml:space="preserve">The production phase takes place in China. Emissions arise from direct energy use (Scope 1 - negligible direct fuel combustion assumed for this product), purchased electricity (Scope 2), and other Scope 3 activities such as waste generation and services.</w:t>
      </w:r>
    </w:p>
    <w:p>
      <w:pPr>
        <w:numPr>
          <w:ilvl w:val="0"/>
          <w:numId w:val="1005"/>
        </w:numPr>
        <w:pStyle w:val="Compact"/>
      </w:pPr>
      <w:r>
        <w:rPr>
          <w:bCs/>
          <w:b/>
        </w:rPr>
        <w:t xml:space="preserve">Energy Intensity (kWh/unit):</w:t>
      </w:r>
      <w:r>
        <w:t xml:space="preserve"> </w:t>
      </w:r>
      <w:r>
        <w:rPr>
          <w:rStyle w:val="VerbatimChar"/>
        </w:rPr>
        <w:t xml:space="preserve">woninhtiyg</w:t>
      </w:r>
      <w:r>
        <w:t xml:space="preserve"> </w:t>
      </w:r>
      <w:r>
        <w:t xml:space="preserve">(Simulated: 15 kWh/unit)</w:t>
      </w:r>
    </w:p>
    <w:p>
      <w:pPr>
        <w:numPr>
          <w:ilvl w:val="0"/>
          <w:numId w:val="1005"/>
        </w:numPr>
        <w:pStyle w:val="Compact"/>
      </w:pPr>
      <w:r>
        <w:rPr>
          <w:bCs/>
          <w:b/>
        </w:rPr>
        <w:t xml:space="preserve">Renewable Energy Usage:</w:t>
      </w:r>
      <w:r>
        <w:t xml:space="preserve"> </w:t>
      </w:r>
      <w:r>
        <w:rPr>
          <w:rStyle w:val="VerbatimChar"/>
        </w:rPr>
        <w:t xml:space="preserve">tpwgnosolg</w:t>
      </w:r>
      <w:r>
        <w:t xml:space="preserve"> </w:t>
      </w:r>
      <w:r>
        <w:t xml:space="preserve">(Simulated: 60%)</w:t>
      </w:r>
    </w:p>
    <w:p>
      <w:pPr>
        <w:numPr>
          <w:ilvl w:val="0"/>
          <w:numId w:val="1005"/>
        </w:numPr>
        <w:pStyle w:val="Compact"/>
      </w:pPr>
      <w:r>
        <w:rPr>
          <w:bCs/>
          <w:b/>
        </w:rPr>
        <w:t xml:space="preserve">Non-Renewable Energy Usage:</w:t>
      </w:r>
      <w:r>
        <w:t xml:space="preserve"> </w:t>
      </w:r>
      <w:r>
        <w:t xml:space="preserve">40%</w:t>
      </w:r>
    </w:p>
    <w:p>
      <w:pPr>
        <w:numPr>
          <w:ilvl w:val="0"/>
          <w:numId w:val="1005"/>
        </w:numPr>
        <w:pStyle w:val="Compact"/>
      </w:pPr>
      <w:r>
        <w:rPr>
          <w:bCs/>
          <w:b/>
        </w:rPr>
        <w:t xml:space="preserve">Grid Electricity Emission Factor (China, average):</w:t>
      </w:r>
      <w:r>
        <w:t xml:space="preserve"> </w:t>
      </w:r>
      <w:r>
        <w:t xml:space="preserve">0.7 kg CO2e/kWh (Example factor)</w:t>
      </w:r>
    </w:p>
    <w:p>
      <w:pPr>
        <w:numPr>
          <w:ilvl w:val="0"/>
          <w:numId w:val="1005"/>
        </w:numPr>
        <w:pStyle w:val="Compact"/>
      </w:pPr>
      <w:r>
        <w:rPr>
          <w:bCs/>
          <w:b/>
        </w:rPr>
        <w:t xml:space="preserve">Scope 1 Emissions:</w:t>
      </w:r>
      <w:r>
        <w:t xml:space="preserve"> </w:t>
      </w:r>
      <w:r>
        <w:t xml:space="preserve">Assumed negligible for product manufacturing without specific direct fuel combustion data.</w:t>
      </w:r>
    </w:p>
    <w:bookmarkEnd w:id="28"/>
    <w:bookmarkStart w:id="29" w:name="transportation-scope-3-category-4-9"/>
    <w:p>
      <w:pPr>
        <w:pStyle w:val="Heading3"/>
      </w:pPr>
      <w:r>
        <w:t xml:space="preserve">2.3. Transportation (Scope 3, Category 4 &amp; 9)</w:t>
      </w:r>
    </w:p>
    <w:p>
      <w:pPr>
        <w:pStyle w:val="FirstParagraph"/>
      </w:pPr>
      <w:r>
        <w:t xml:space="preserve">Logistics include upstream transport of materials to the manufacturing plant in China and downstream transport of the finished product to the customer, including last-mile delivery.</w:t>
      </w:r>
    </w:p>
    <w:p>
      <w:pPr>
        <w:numPr>
          <w:ilvl w:val="0"/>
          <w:numId w:val="1006"/>
        </w:numPr>
        <w:pStyle w:val="Compact"/>
      </w:pPr>
      <w:r>
        <w:rPr>
          <w:bCs/>
          <w:b/>
        </w:rPr>
        <w:t xml:space="preserve">Upstream Transport Distance:</w:t>
      </w:r>
      <w:r>
        <w:t xml:space="preserve"> </w:t>
      </w:r>
      <w:r>
        <w:rPr>
          <w:rStyle w:val="VerbatimChar"/>
        </w:rPr>
        <w:t xml:space="preserve">evswqeqvxr</w:t>
      </w:r>
      <w:r>
        <w:t xml:space="preserve"> </w:t>
      </w:r>
      <w:r>
        <w:t xml:space="preserve">(Simulated: 1500 km, for materials from Europe to China)</w:t>
      </w:r>
    </w:p>
    <w:p>
      <w:pPr>
        <w:numPr>
          <w:ilvl w:val="0"/>
          <w:numId w:val="1006"/>
        </w:numPr>
        <w:pStyle w:val="Compact"/>
      </w:pPr>
      <w:r>
        <w:rPr>
          <w:bCs/>
          <w:b/>
        </w:rPr>
        <w:t xml:space="preserve">Downstream Transport Distance:</w:t>
      </w:r>
      <w:r>
        <w:t xml:space="preserve"> </w:t>
      </w:r>
      <w:r>
        <w:rPr>
          <w:rStyle w:val="VerbatimChar"/>
        </w:rPr>
        <w:t xml:space="preserve">evswqeqvxr</w:t>
      </w:r>
      <w:r>
        <w:t xml:space="preserve"> </w:t>
      </w:r>
      <w:r>
        <w:t xml:space="preserve">(Simulated: 500 km, from China factory to European distribution hub; plus 100 km for last-mile)</w:t>
      </w:r>
    </w:p>
    <w:p>
      <w:pPr>
        <w:numPr>
          <w:ilvl w:val="0"/>
          <w:numId w:val="1006"/>
        </w:numPr>
        <w:pStyle w:val="Compact"/>
      </w:pPr>
      <w:r>
        <w:rPr>
          <w:bCs/>
          <w:b/>
        </w:rPr>
        <w:t xml:space="preserve">Transport Mode (Main):</w:t>
      </w:r>
      <w:r>
        <w:t xml:space="preserve"> </w:t>
      </w:r>
      <w:r>
        <w:rPr>
          <w:rStyle w:val="VerbatimChar"/>
        </w:rPr>
        <w:t xml:space="preserve">Select Mode</w:t>
      </w:r>
      <w:r>
        <w:t xml:space="preserve"> </w:t>
      </w:r>
      <w:r>
        <w:t xml:space="preserve">(Simulated: Road Freight, HGV &gt;16t, Euro VI for main legs; Light Commercial Van for last-mile)</w:t>
      </w:r>
    </w:p>
    <w:p>
      <w:pPr>
        <w:numPr>
          <w:ilvl w:val="0"/>
          <w:numId w:val="1006"/>
        </w:numPr>
        <w:pStyle w:val="Compact"/>
      </w:pPr>
      <w:r>
        <w:rPr>
          <w:bCs/>
          <w:b/>
        </w:rPr>
        <w:t xml:space="preserve">Transport Emission Factor (Road Freight, HGV &gt;16t, Euro VI):</w:t>
      </w:r>
      <w:r>
        <w:t xml:space="preserve"> </w:t>
      </w:r>
      <w:r>
        <w:t xml:space="preserve">0.03 kg CO2e/tkm (Example factor)</w:t>
      </w:r>
    </w:p>
    <w:p>
      <w:pPr>
        <w:numPr>
          <w:ilvl w:val="0"/>
          <w:numId w:val="1006"/>
        </w:numPr>
        <w:pStyle w:val="Compact"/>
      </w:pPr>
      <w:r>
        <w:rPr>
          <w:bCs/>
          <w:b/>
        </w:rPr>
        <w:t xml:space="preserve">Transport Emission Factor (Light Commercial Van):</w:t>
      </w:r>
      <w:r>
        <w:t xml:space="preserve"> </w:t>
      </w:r>
      <w:r>
        <w:t xml:space="preserve">0.25 kg CO2e/km (Example factor, assuming 0.1t load for calculation)</w:t>
      </w:r>
    </w:p>
    <w:p>
      <w:pPr>
        <w:numPr>
          <w:ilvl w:val="0"/>
          <w:numId w:val="1006"/>
        </w:numPr>
        <w:pStyle w:val="Compact"/>
      </w:pPr>
      <w:r>
        <w:rPr>
          <w:bCs/>
          <w:b/>
        </w:rPr>
        <w:t xml:space="preserve">Product Weight for Transport:</w:t>
      </w:r>
      <w:r>
        <w:t xml:space="preserve"> </w:t>
      </w:r>
      <w:r>
        <w:t xml:space="preserve">1.75 kg (derived from total BOM weight)</w:t>
      </w:r>
    </w:p>
    <w:bookmarkEnd w:id="29"/>
    <w:bookmarkStart w:id="30" w:name="use-phase-scope-3-category-11"/>
    <w:p>
      <w:pPr>
        <w:pStyle w:val="Heading3"/>
      </w:pPr>
      <w:r>
        <w:t xml:space="preserve">2.4. Use Phase (Scope 3, Category 11)</w:t>
      </w:r>
    </w:p>
    <w:p>
      <w:pPr>
        <w:pStyle w:val="FirstParagraph"/>
      </w:pPr>
      <w:r>
        <w:t xml:space="preserve">Emissions during the use phase are primarily from electricity consumption over the product\'s lifespan.</w:t>
      </w:r>
    </w:p>
    <w:p>
      <w:pPr>
        <w:numPr>
          <w:ilvl w:val="0"/>
          <w:numId w:val="1007"/>
        </w:numPr>
        <w:pStyle w:val="Compact"/>
      </w:pPr>
      <w:r>
        <w:rPr>
          <w:bCs/>
          <w:b/>
        </w:rPr>
        <w:t xml:space="preserve">Product Lifespan:</w:t>
      </w:r>
      <w:r>
        <w:t xml:space="preserve"> </w:t>
      </w:r>
      <w:r>
        <w:rPr>
          <w:rStyle w:val="VerbatimChar"/>
        </w:rPr>
        <w:t xml:space="preserve">rsrshydoqo</w:t>
      </w:r>
      <w:r>
        <w:t xml:space="preserve"> </w:t>
      </w:r>
      <w:r>
        <w:t xml:space="preserve">(Simulated: 3 years)</w:t>
      </w:r>
    </w:p>
    <w:p>
      <w:pPr>
        <w:numPr>
          <w:ilvl w:val="0"/>
          <w:numId w:val="1007"/>
        </w:numPr>
        <w:pStyle w:val="Compact"/>
      </w:pPr>
      <w:r>
        <w:rPr>
          <w:bCs/>
          <w:b/>
        </w:rPr>
        <w:t xml:space="preserve">Energy Consumption in Use:</w:t>
      </w:r>
      <w:r>
        <w:t xml:space="preserve"> </w:t>
      </w:r>
      <w:r>
        <w:rPr>
          <w:rStyle w:val="VerbatimChar"/>
        </w:rPr>
        <w:t xml:space="preserve">uwddmkkwgg</w:t>
      </w:r>
      <w:r>
        <w:t xml:space="preserve"> </w:t>
      </w:r>
      <w:r>
        <w:t xml:space="preserve">(Simulated: 30 kWh/year)</w:t>
      </w:r>
    </w:p>
    <w:p>
      <w:pPr>
        <w:numPr>
          <w:ilvl w:val="0"/>
          <w:numId w:val="1007"/>
        </w:numPr>
        <w:pStyle w:val="Compact"/>
      </w:pPr>
      <w:r>
        <w:rPr>
          <w:bCs/>
          <w:b/>
        </w:rPr>
        <w:t xml:space="preserve">Grid Electricity Emission Factor (Europe, average):</w:t>
      </w:r>
      <w:r>
        <w:t xml:space="preserve"> </w:t>
      </w:r>
      <w:r>
        <w:t xml:space="preserve">0.25 kg CO2e/kWh (Example factor)</w:t>
      </w:r>
    </w:p>
    <w:bookmarkEnd w:id="30"/>
    <w:bookmarkStart w:id="31" w:name="X3261202975bfccb1283f2bd5fabef2dfdbe9c90"/>
    <w:p>
      <w:pPr>
        <w:pStyle w:val="Heading3"/>
      </w:pPr>
      <w:r>
        <w:t xml:space="preserve">2.5. End-of-Life (EoL) Scenarios (Scope 3, Category 12)</w:t>
      </w:r>
    </w:p>
    <w:p>
      <w:pPr>
        <w:pStyle w:val="FirstParagraph"/>
      </w:pPr>
      <w:r>
        <w:t xml:space="preserve">The end-of-life stage considers recycling and disposal scenarios. Circular economy impacts are integrated through take-back programs and recyclability.</w:t>
      </w:r>
    </w:p>
    <w:p>
      <w:pPr>
        <w:numPr>
          <w:ilvl w:val="0"/>
          <w:numId w:val="1008"/>
        </w:numPr>
        <w:pStyle w:val="Compact"/>
      </w:pPr>
      <w:r>
        <w:rPr>
          <w:bCs/>
          <w:b/>
        </w:rPr>
        <w:t xml:space="preserve">Recyclability Percentage:</w:t>
      </w:r>
      <w:r>
        <w:t xml:space="preserve"> </w:t>
      </w:r>
      <w:r>
        <w:rPr>
          <w:rStyle w:val="VerbatimChar"/>
        </w:rPr>
        <w:t xml:space="preserve">qelfmxgrfy</w:t>
      </w:r>
      <w:r>
        <w:t xml:space="preserve"> </w:t>
      </w:r>
      <w:r>
        <w:t xml:space="preserve">(Simulated: 65%)</w:t>
      </w:r>
    </w:p>
    <w:p>
      <w:pPr>
        <w:numPr>
          <w:ilvl w:val="0"/>
          <w:numId w:val="1008"/>
        </w:numPr>
        <w:pStyle w:val="Compact"/>
      </w:pPr>
      <w:r>
        <w:rPr>
          <w:bCs/>
          <w:b/>
        </w:rPr>
        <w:t xml:space="preserve">Non-Recycled Percentage:</w:t>
      </w:r>
      <w:r>
        <w:t xml:space="preserve"> </w:t>
      </w:r>
      <w:r>
        <w:t xml:space="preserve">35% (assumed to be landfilled)</w:t>
      </w:r>
    </w:p>
    <w:p>
      <w:pPr>
        <w:numPr>
          <w:ilvl w:val="0"/>
          <w:numId w:val="1008"/>
        </w:numPr>
        <w:pStyle w:val="Compact"/>
      </w:pPr>
      <w:r>
        <w:rPr>
          <w:bCs/>
          <w:b/>
        </w:rPr>
        <w:t xml:space="preserve">Circular/Take-back Programs:</w:t>
      </w:r>
      <w:r>
        <w:t xml:space="preserve"> </w:t>
      </w:r>
      <w:r>
        <w:rPr>
          <w:rStyle w:val="VerbatimChar"/>
        </w:rPr>
        <w:t xml:space="preserve">jqgyusrvfy</w:t>
      </w:r>
      <w:r>
        <w:t xml:space="preserve"> </w:t>
      </w:r>
      <w:r>
        <w:t xml:space="preserve">(Simulated: Yes, assumed to contribute to material recovery and recycling rates). A 10% reduction in landfill emissions is assumed due to effective take-back and material segregation.</w:t>
      </w:r>
    </w:p>
    <w:p>
      <w:pPr>
        <w:numPr>
          <w:ilvl w:val="0"/>
          <w:numId w:val="1008"/>
        </w:numPr>
        <w:pStyle w:val="Compact"/>
      </w:pPr>
      <w:r>
        <w:rPr>
          <w:bCs/>
          <w:b/>
        </w:rPr>
        <w:t xml:space="preserve">Disposal Emission Factor (Landfill, average):</w:t>
      </w:r>
      <w:r>
        <w:t xml:space="preserve"> </w:t>
      </w:r>
      <w:r>
        <w:t xml:space="preserve">1.5 kg CO2e/kg for non-recyclable materials (e.g., plastics)</w:t>
      </w:r>
    </w:p>
    <w:p>
      <w:pPr>
        <w:numPr>
          <w:ilvl w:val="0"/>
          <w:numId w:val="1008"/>
        </w:numPr>
        <w:pStyle w:val="Compact"/>
      </w:pPr>
      <w:r>
        <w:rPr>
          <w:bCs/>
          <w:b/>
        </w:rPr>
        <w:t xml:space="preserve">Recycling Credit (e.g., for metals/plastics, avoided virgin material):</w:t>
      </w:r>
      <w:r>
        <w:t xml:space="preserve"> </w:t>
      </w:r>
      <w:r>
        <w:t xml:space="preserve">-1.0 kg CO2e/kg for recycled materials</w:t>
      </w:r>
    </w:p>
    <w:p>
      <w:r>
        <w:pict>
          <v:rect style="width:0;height:1.5pt" o:hralign="center" o:hrstd="t" o:hr="t"/>
        </w:pict>
      </w:r>
    </w:p>
    <w:bookmarkEnd w:id="31"/>
    <w:bookmarkEnd w:id="32"/>
    <w:bookmarkStart w:id="42" w:name="X439a6e6dcb43c636bf515ffaf3f59bce0bd6490"/>
    <w:p>
      <w:pPr>
        <w:pStyle w:val="Heading2"/>
      </w:pPr>
      <w:r>
        <w:t xml:space="preserve">3. Emission Calculation (Activity * Emission Factor = CO2e)</w:t>
      </w:r>
    </w:p>
    <w:p>
      <w:pPr>
        <w:pStyle w:val="FirstParagraph"/>
      </w:pPr>
      <w:r>
        <w:t xml:space="preserve">The total Product Carbon Footprint is calculated by summing emissions from each lifecycle stage, categorized according to the GHG Protocol.</w:t>
      </w:r>
    </w:p>
    <w:bookmarkStart w:id="33" w:name="scope-1-emissions"/>
    <w:p>
      <w:pPr>
        <w:pStyle w:val="Heading3"/>
      </w:pPr>
      <w:r>
        <w:t xml:space="preserve">3.1. Scope 1 Emissions</w:t>
      </w:r>
    </w:p>
    <w:p>
      <w:pPr>
        <w:pStyle w:val="FirstParagraph"/>
      </w:pPr>
      <w:r>
        <w:t xml:space="preserve">For krryloulit, direct Scope 1 emissions from manufacturing (e.g., on-site fuel combustion) are assumed to be negligible for this product-level analysis, focusing instead on purchased energy and value chain emissions.</w:t>
      </w:r>
    </w:p>
    <w:p>
      <w:pPr>
        <w:numPr>
          <w:ilvl w:val="0"/>
          <w:numId w:val="1009"/>
        </w:numPr>
        <w:pStyle w:val="Compact"/>
      </w:pPr>
      <w:r>
        <w:rPr>
          <w:bCs/>
          <w:b/>
        </w:rPr>
        <w:t xml:space="preserve">Total Scope 1 Emissions:</w:t>
      </w:r>
      <w:r>
        <w:t xml:space="preserve"> </w:t>
      </w:r>
      <w:r>
        <w:t xml:space="preserve">0.00 kg CO2e</w:t>
      </w:r>
    </w:p>
    <w:bookmarkEnd w:id="33"/>
    <w:bookmarkStart w:id="34" w:name="X74867a7b2c16b8de440578aa3f6074c77be2239"/>
    <w:p>
      <w:pPr>
        <w:pStyle w:val="Heading3"/>
      </w:pPr>
      <w:r>
        <w:t xml:space="preserve">3.2. Scope 2 Emissions (Purchased Electricity for Manufacturing)</w:t>
      </w:r>
    </w:p>
    <w:p>
      <w:pPr>
        <w:pStyle w:val="FirstParagraph"/>
      </w:pPr>
      <w:r>
        <w:t xml:space="preserve">Calculation: Energy Intensity (kWh/unit) * (1 - Renewable Energy Usage %) * Grid Electricity Emission Factor (China)</w:t>
      </w:r>
    </w:p>
    <w:p>
      <w:pPr>
        <w:pStyle w:val="BodyText"/>
      </w:pPr>
      <w:r>
        <w:t xml:space="preserve">15 kWh/unit * (1 - 0.60) * 0.7 kg CO2e/kWh = 15 * 0.40 * 0.7 = 4.20 kg CO2e</w:t>
      </w:r>
    </w:p>
    <w:p>
      <w:pPr>
        <w:numPr>
          <w:ilvl w:val="0"/>
          <w:numId w:val="1010"/>
        </w:numPr>
        <w:pStyle w:val="Compact"/>
      </w:pPr>
      <w:r>
        <w:rPr>
          <w:bCs/>
          <w:b/>
        </w:rPr>
        <w:t xml:space="preserve">Total Scope 2 Emissions:</w:t>
      </w:r>
      <w:r>
        <w:t xml:space="preserve"> </w:t>
      </w:r>
      <w:r>
        <w:t xml:space="preserve">4.20 kg CO2e</w:t>
      </w:r>
    </w:p>
    <w:bookmarkEnd w:id="34"/>
    <w:bookmarkStart w:id="40" w:name="scope-3-emissions-value-chain"/>
    <w:p>
      <w:pPr>
        <w:pStyle w:val="Heading3"/>
      </w:pPr>
      <w:r>
        <w:t xml:space="preserve">3.3. Scope 3 Emissions (Value Chain)</w:t>
      </w:r>
    </w:p>
    <w:p>
      <w:pPr>
        <w:pStyle w:val="FirstParagraph"/>
      </w:pPr>
      <w:r>
        <w:t xml:space="preserve">Scope 3 emissions are calculated for upstream and downstream activities, ensuring over 95% coverage as per 2026 requirements.</w:t>
      </w:r>
    </w:p>
    <w:bookmarkStart w:id="35" w:name="Xab9729a0caae076ca89f2f71668734f92723cf2"/>
    <w:p>
      <w:pPr>
        <w:pStyle w:val="Heading4"/>
      </w:pPr>
      <w:r>
        <w:t xml:space="preserve">3.3.1. Category 1: Purchased Goods and Services (Materials)</w:t>
      </w:r>
    </w:p>
    <w:p>
      <w:pPr>
        <w:pStyle w:val="FirstParagraph"/>
      </w:pPr>
      <w:r>
        <w:t xml:space="preserve">Sum of Total Carbon from BOM table: 11.78 kg CO2e</w:t>
      </w:r>
    </w:p>
    <w:p>
      <w:pPr>
        <w:numPr>
          <w:ilvl w:val="0"/>
          <w:numId w:val="1011"/>
        </w:numPr>
        <w:pStyle w:val="Compact"/>
      </w:pPr>
      <w:r>
        <w:rPr>
          <w:bCs/>
          <w:b/>
        </w:rPr>
        <w:t xml:space="preserve">Total Scope 3, Cat 1 Emissions:</w:t>
      </w:r>
      <w:r>
        <w:t xml:space="preserve"> </w:t>
      </w:r>
      <w:r>
        <w:t xml:space="preserve">11.78 kg CO2e</w:t>
      </w:r>
    </w:p>
    <w:bookmarkEnd w:id="35"/>
    <w:bookmarkStart w:id="36" w:name="X8498ada35b8b56846ac09b8d90cfd82892d1c2a"/>
    <w:p>
      <w:pPr>
        <w:pStyle w:val="Heading4"/>
      </w:pPr>
      <w:r>
        <w:t xml:space="preserve">3.3.2. Category 4: Upstream Transportation and Distribution (Materials to Factory)</w:t>
      </w:r>
    </w:p>
    <w:p>
      <w:pPr>
        <w:pStyle w:val="FirstParagraph"/>
      </w:pPr>
      <w:r>
        <w:t xml:space="preserve">Assuming an average material weight (total BOM weight) for transport.</w:t>
      </w:r>
    </w:p>
    <w:p>
      <w:pPr>
        <w:pStyle w:val="BodyText"/>
      </w:pPr>
      <w:r>
        <w:t xml:space="preserve">Calculation: Total Material Weight (t) * Upstream Transport Distance (km) * Transport Emission Factor (kg CO2e/tkm)</w:t>
      </w:r>
    </w:p>
    <w:p>
      <w:pPr>
        <w:pStyle w:val="BodyText"/>
      </w:pPr>
      <w:r>
        <w:t xml:space="preserve">(1.75 kg / 1000) * 1500 km * 0.03 kg CO2e/tkm = 0.00175 t * 1500 km * 0.03 kg CO2e/tkm = 0.07875 kg CO2e</w:t>
      </w:r>
    </w:p>
    <w:p>
      <w:pPr>
        <w:numPr>
          <w:ilvl w:val="0"/>
          <w:numId w:val="1012"/>
        </w:numPr>
        <w:pStyle w:val="Compact"/>
      </w:pPr>
      <w:r>
        <w:rPr>
          <w:bCs/>
          <w:b/>
        </w:rPr>
        <w:t xml:space="preserve">Total Scope 3, Cat 4 Emissions:</w:t>
      </w:r>
      <w:r>
        <w:t xml:space="preserve"> </w:t>
      </w:r>
      <w:r>
        <w:t xml:space="preserve">0.08 kg CO2e</w:t>
      </w:r>
    </w:p>
    <w:bookmarkEnd w:id="36"/>
    <w:bookmarkStart w:id="37" w:name="X7484e83a3258b6cae71e584aa345aa4b6b25ce0"/>
    <w:p>
      <w:pPr>
        <w:pStyle w:val="Heading4"/>
      </w:pPr>
      <w:r>
        <w:t xml:space="preserve">3.3.3. Category 9: Downstream Transportation and Distribution (Product to Customer)</w:t>
      </w:r>
    </w:p>
    <w:p>
      <w:pPr>
        <w:pStyle w:val="FirstParagraph"/>
      </w:pPr>
      <w:r>
        <w:t xml:space="preserve">Main Leg (Factory to Distribution Hub): Product Weight (t) * Distance (km) * Emission Factor (kg CO2e/tkm)</w:t>
      </w:r>
    </w:p>
    <w:p>
      <w:pPr>
        <w:pStyle w:val="BodyText"/>
      </w:pPr>
      <w:r>
        <w:t xml:space="preserve">(1.75 kg / 1000) * 500 km * 0.03 kg CO2e/tkm = 0.00175 t * 500 km * 0.03 kg CO2e/tkm = 0.02625 kg CO2e</w:t>
      </w:r>
    </w:p>
    <w:p>
      <w:pPr>
        <w:pStyle w:val="BodyText"/>
      </w:pPr>
      <w:r>
        <w:t xml:space="preserve">Last-Mile Delivery (Assumed Product Weight 0.1t for van factor, but use 1.75kg for calculation): Distance (km) * Emission Factor (kg CO2e/km)</w:t>
      </w:r>
    </w:p>
    <w:p>
      <w:pPr>
        <w:pStyle w:val="BodyText"/>
      </w:pPr>
      <w:r>
        <w:t xml:space="preserve">100 km * 0.25 kg CO2e/km (assuming this factor includes loading efficiency) = 25.00 kg CO2e</w:t>
      </w:r>
    </w:p>
    <w:p>
      <w:pPr>
        <w:pStyle w:val="BodyText"/>
      </w:pPr>
      <w:r>
        <w:rPr>
          <w:iCs/>
          <w:i/>
        </w:rPr>
        <w:t xml:space="preserve">Note: The last-mile factor is typically per vehicle-km; attributing it to a single unit requires assumptions on vehicle load. For simplicity, we are using the per-km factor directly here, assuming a simplified allocation, which can be a hotspot.</w:t>
      </w:r>
    </w:p>
    <w:p>
      <w:pPr>
        <w:pStyle w:val="BodyText"/>
      </w:pPr>
      <w:r>
        <w:t xml:space="preserve">Total Downstream Transport = 0.03 kg CO2e (Main Leg) + 25.00 kg CO2e (Last-Mile) = 25.03 kg CO2e</w:t>
      </w:r>
    </w:p>
    <w:p>
      <w:pPr>
        <w:numPr>
          <w:ilvl w:val="0"/>
          <w:numId w:val="1013"/>
        </w:numPr>
        <w:pStyle w:val="Compact"/>
      </w:pPr>
      <w:r>
        <w:rPr>
          <w:bCs/>
          <w:b/>
        </w:rPr>
        <w:t xml:space="preserve">Total Scope 3, Cat 9 Emissions:</w:t>
      </w:r>
      <w:r>
        <w:t xml:space="preserve"> </w:t>
      </w:r>
      <w:r>
        <w:t xml:space="preserve">25.03 kg CO2e</w:t>
      </w:r>
    </w:p>
    <w:bookmarkEnd w:id="37"/>
    <w:bookmarkStart w:id="38" w:name="category-11-use-of-sold-products"/>
    <w:p>
      <w:pPr>
        <w:pStyle w:val="Heading4"/>
      </w:pPr>
      <w:r>
        <w:t xml:space="preserve">3.3.4. Category 11: Use of Sold Products</w:t>
      </w:r>
    </w:p>
    <w:p>
      <w:pPr>
        <w:pStyle w:val="FirstParagraph"/>
      </w:pPr>
      <w:r>
        <w:t xml:space="preserve">Calculation: Energy Consumption in Use (kWh/year) * Product Lifespan (years) * Grid Electricity Emission Factor (Europe)</w:t>
      </w:r>
    </w:p>
    <w:p>
      <w:pPr>
        <w:pStyle w:val="BodyText"/>
      </w:pPr>
      <w:r>
        <w:t xml:space="preserve">30 kWh/year * 3 years * 0.25 kg CO2e/kWh = 22.50 kg CO2e</w:t>
      </w:r>
    </w:p>
    <w:p>
      <w:pPr>
        <w:numPr>
          <w:ilvl w:val="0"/>
          <w:numId w:val="1014"/>
        </w:numPr>
        <w:pStyle w:val="Compact"/>
      </w:pPr>
      <w:r>
        <w:rPr>
          <w:bCs/>
          <w:b/>
        </w:rPr>
        <w:t xml:space="preserve">Total Scope 3, Cat 11 Emissions:</w:t>
      </w:r>
      <w:r>
        <w:t xml:space="preserve"> </w:t>
      </w:r>
      <w:r>
        <w:t xml:space="preserve">22.50 kg CO2e</w:t>
      </w:r>
    </w:p>
    <w:bookmarkEnd w:id="38"/>
    <w:bookmarkStart w:id="39" w:name="X9f66eef2700632e081dfe139021cb724ffcd2c5"/>
    <w:p>
      <w:pPr>
        <w:pStyle w:val="Heading4"/>
      </w:pPr>
      <w:r>
        <w:t xml:space="preserve">3.3.5. Category 12: End-of-Life Treatment of Sold Products</w:t>
      </w:r>
    </w:p>
    <w:p>
      <w:pPr>
        <w:pStyle w:val="FirstParagraph"/>
      </w:pPr>
      <w:r>
        <w:t xml:space="preserve">Total Product Material Weight: 1.75 kg</w:t>
      </w:r>
    </w:p>
    <w:p>
      <w:pPr>
        <w:pStyle w:val="BodyText"/>
      </w:pPr>
      <w:r>
        <w:t xml:space="preserve">Emissions from Non-Recycled Portion: Total Product Material Weight * (1 - Recyclability %) * Disposal Emission Factor</w:t>
      </w:r>
    </w:p>
    <w:p>
      <w:pPr>
        <w:pStyle w:val="BodyText"/>
      </w:pPr>
      <w:r>
        <w:t xml:space="preserve">1.75 kg * (1 - 0.65) * 1.5 kg CO2e/kg = 1.75 * 0.35 * 1.5 = 0.91875 kg CO2e</w:t>
      </w:r>
    </w:p>
    <w:p>
      <w:pPr>
        <w:pStyle w:val="BodyText"/>
      </w:pPr>
      <w:r>
        <w:t xml:space="preserve">Credits from Recycled Portion: Total Product Material Weight * Recyclability % * Recycling Credit Emission Factor</w:t>
      </w:r>
    </w:p>
    <w:p>
      <w:pPr>
        <w:pStyle w:val="BodyText"/>
      </w:pPr>
      <w:r>
        <w:t xml:space="preserve">1.75 kg * 0.65 * (-1.0 kg CO2e/kg) = -1.1375 kg CO2e</w:t>
      </w:r>
    </w:p>
    <w:p>
      <w:pPr>
        <w:pStyle w:val="BodyText"/>
      </w:pPr>
      <w:r>
        <w:t xml:space="preserve">Impact of Circular Programs: Assumed 10% reduction in disposal emissions.</w:t>
      </w:r>
    </w:p>
    <w:p>
      <w:pPr>
        <w:pStyle w:val="BodyText"/>
      </w:pPr>
      <w:r>
        <w:t xml:space="preserve">Adjusted Disposal Emissions = 0.91875 kg CO2e * (1 - 0.10) = 0.826875 kg CO2e</w:t>
      </w:r>
    </w:p>
    <w:p>
      <w:pPr>
        <w:pStyle w:val="BodyText"/>
      </w:pPr>
      <w:r>
        <w:t xml:space="preserve">Total EoL Emissions = 0.826875 kg CO2e (Adjusted Disposal) + (-1.1375 kg CO2e) (Recycling Credit) = -0.310625 kg CO2e</w:t>
      </w:r>
    </w:p>
    <w:p>
      <w:pPr>
        <w:numPr>
          <w:ilvl w:val="0"/>
          <w:numId w:val="1015"/>
        </w:numPr>
        <w:pStyle w:val="Compact"/>
      </w:pPr>
      <w:r>
        <w:rPr>
          <w:bCs/>
          <w:b/>
        </w:rPr>
        <w:t xml:space="preserve">Total Scope 3, Cat 12 Emissions:</w:t>
      </w:r>
      <w:r>
        <w:t xml:space="preserve"> </w:t>
      </w:r>
      <w:r>
        <w:t xml:space="preserve">-0.31 kg CO2e (Net Carbon Sequestration/Avoidance)</w:t>
      </w:r>
    </w:p>
    <w:bookmarkEnd w:id="39"/>
    <w:bookmarkEnd w:id="40"/>
    <w:bookmarkStart w:id="41" w:name="summary-of-pcf-by-scope"/>
    <w:p>
      <w:pPr>
        <w:pStyle w:val="Heading3"/>
      </w:pPr>
      <w:r>
        <w:t xml:space="preserve">3.4. Summary of PCF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Category</w:t>
            </w:r>
          </w:p>
        </w:tc>
        <w:tc>
          <w:tcPr/>
          <w:p>
            <w:pPr>
              <w:pStyle w:val="Compact"/>
              <w:jc w:val="left"/>
            </w:pPr>
            <w:r>
              <w:t xml:space="preserve">Description</w:t>
            </w:r>
          </w:p>
        </w:tc>
        <w:tc>
          <w:tcPr/>
          <w:p>
            <w:pPr>
              <w:pStyle w:val="Compact"/>
              <w:jc w:val="left"/>
            </w:pPr>
            <w:r>
              <w:t xml:space="preserve">Total CO2e (kg)</w:t>
            </w:r>
          </w:p>
        </w:tc>
        <w:tc>
          <w:tcPr/>
          <w:p>
            <w:pPr>
              <w:pStyle w:val="Compact"/>
              <w:jc w:val="left"/>
            </w:pPr>
            <w:r>
              <w:t xml:space="preserve">Percentage (%)</w:t>
            </w:r>
          </w:p>
        </w:tc>
      </w:tr>
      <w:tr>
        <w:tc>
          <w:tcPr/>
          <w:p>
            <w:pPr>
              <w:pStyle w:val="Compact"/>
              <w:jc w:val="left"/>
            </w:pPr>
            <w:r>
              <w:rPr>
                <w:bCs/>
                <w:b/>
              </w:rPr>
              <w:t xml:space="preserve">Scope 1</w:t>
            </w:r>
          </w:p>
        </w:tc>
        <w:tc>
          <w:tcPr/>
          <w:p>
            <w:pPr>
              <w:pStyle w:val="Compact"/>
              <w:jc w:val="left"/>
            </w:pPr>
            <w:r>
              <w:t xml:space="preserve">Direct Emissions (e.g., on-site fuel combustion)</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Purchased Electricity for Manufacturing</w:t>
            </w:r>
          </w:p>
        </w:tc>
        <w:tc>
          <w:tcPr/>
          <w:p>
            <w:pPr>
              <w:pStyle w:val="Compact"/>
              <w:jc w:val="left"/>
            </w:pPr>
            <w:r>
              <w:t xml:space="preserve">4.20</w:t>
            </w:r>
          </w:p>
        </w:tc>
        <w:tc>
          <w:tcPr/>
          <w:p>
            <w:pPr>
              <w:pStyle w:val="Compact"/>
              <w:jc w:val="left"/>
            </w:pPr>
            <w:r>
              <w:t xml:space="preserve">6.7%</w:t>
            </w:r>
          </w:p>
        </w:tc>
      </w:tr>
      <w:tr>
        <w:tc>
          <w:tcPr>
            <w:gridSpan w:val="3"/>
          </w:tcPr>
          <w:p>
            <w:pPr>
              <w:pStyle w:val="Compact"/>
              <w:jc w:val="left"/>
            </w:pPr>
            <w:r>
              <w:t xml:space="preserve">Scope 3 (Value Chain Emissions)</w:t>
            </w:r>
          </w:p>
        </w:tc>
        <w:tc>
          <w:tcPr/>
          <w:p>
            <w:pPr>
              <w:pStyle w:val="Compact"/>
            </w:pPr>
          </w:p>
        </w:tc>
      </w:tr>
      <w:tr>
        <w:tc>
          <w:tcPr/>
          <w:p>
            <w:pPr>
              <w:pStyle w:val="Compact"/>
              <w:jc w:val="left"/>
            </w:pPr>
            <w:r>
              <w:t xml:space="preserve">    Category 1</w:t>
            </w:r>
          </w:p>
        </w:tc>
        <w:tc>
          <w:tcPr/>
          <w:p>
            <w:pPr>
              <w:pStyle w:val="Compact"/>
              <w:jc w:val="left"/>
            </w:pPr>
            <w:r>
              <w:t xml:space="preserve">Purchased Goods &amp; Services (Materials)</w:t>
            </w:r>
          </w:p>
        </w:tc>
        <w:tc>
          <w:tcPr/>
          <w:p>
            <w:pPr>
              <w:pStyle w:val="Compact"/>
              <w:jc w:val="left"/>
            </w:pPr>
            <w:r>
              <w:t xml:space="preserve">11.78</w:t>
            </w:r>
          </w:p>
        </w:tc>
        <w:tc>
          <w:tcPr/>
          <w:p>
            <w:pPr>
              <w:pStyle w:val="Compact"/>
              <w:jc w:val="left"/>
            </w:pPr>
            <w:r>
              <w:t xml:space="preserve">18.8%</w:t>
            </w:r>
          </w:p>
        </w:tc>
      </w:tr>
      <w:tr>
        <w:tc>
          <w:tcPr/>
          <w:p>
            <w:pPr>
              <w:pStyle w:val="Compact"/>
              <w:jc w:val="left"/>
            </w:pPr>
            <w:r>
              <w:t xml:space="preserve">    Category 4</w:t>
            </w:r>
          </w:p>
        </w:tc>
        <w:tc>
          <w:tcPr/>
          <w:p>
            <w:pPr>
              <w:pStyle w:val="Compact"/>
              <w:jc w:val="left"/>
            </w:pPr>
            <w:r>
              <w:t xml:space="preserve">Upstream Transportation &amp; Distribution</w:t>
            </w:r>
          </w:p>
        </w:tc>
        <w:tc>
          <w:tcPr/>
          <w:p>
            <w:pPr>
              <w:pStyle w:val="Compact"/>
              <w:jc w:val="left"/>
            </w:pPr>
            <w:r>
              <w:t xml:space="preserve">0.08</w:t>
            </w:r>
          </w:p>
        </w:tc>
        <w:tc>
          <w:tcPr/>
          <w:p>
            <w:pPr>
              <w:pStyle w:val="Compact"/>
              <w:jc w:val="left"/>
            </w:pPr>
            <w:r>
              <w:t xml:space="preserve">0.1%</w:t>
            </w:r>
          </w:p>
        </w:tc>
      </w:tr>
      <w:tr>
        <w:tc>
          <w:tcPr/>
          <w:p>
            <w:pPr>
              <w:pStyle w:val="Compact"/>
              <w:jc w:val="left"/>
            </w:pPr>
            <w:r>
              <w:t xml:space="preserve">    Category 9</w:t>
            </w:r>
          </w:p>
        </w:tc>
        <w:tc>
          <w:tcPr/>
          <w:p>
            <w:pPr>
              <w:pStyle w:val="Compact"/>
              <w:jc w:val="left"/>
            </w:pPr>
            <w:r>
              <w:t xml:space="preserve">Downstream Transportation &amp; Distribution</w:t>
            </w:r>
          </w:p>
        </w:tc>
        <w:tc>
          <w:tcPr/>
          <w:p>
            <w:pPr>
              <w:pStyle w:val="Compact"/>
              <w:jc w:val="left"/>
            </w:pPr>
            <w:r>
              <w:t xml:space="preserve">25.03</w:t>
            </w:r>
          </w:p>
        </w:tc>
        <w:tc>
          <w:tcPr/>
          <w:p>
            <w:pPr>
              <w:pStyle w:val="Compact"/>
              <w:jc w:val="left"/>
            </w:pPr>
            <w:r>
              <w:t xml:space="preserve">40.0%</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22.50</w:t>
            </w:r>
          </w:p>
        </w:tc>
        <w:tc>
          <w:tcPr/>
          <w:p>
            <w:pPr>
              <w:pStyle w:val="Compact"/>
              <w:jc w:val="left"/>
            </w:pPr>
            <w:r>
              <w:t xml:space="preserve">36.0%</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-0.31</w:t>
            </w:r>
          </w:p>
        </w:tc>
        <w:tc>
          <w:tcPr/>
          <w:p>
            <w:pPr>
              <w:pStyle w:val="Compact"/>
              <w:jc w:val="left"/>
            </w:pPr>
            <w:r>
              <w:t xml:space="preserve">-0.5%</w:t>
            </w:r>
          </w:p>
        </w:tc>
      </w:tr>
      <w:tr>
        <w:tc>
          <w:tcPr>
            <w:gridSpan w:val="2"/>
          </w:tcPr>
          <w:p>
            <w:pPr>
              <w:pStyle w:val="Compact"/>
              <w:jc w:val="left"/>
            </w:pPr>
            <w:r>
              <w:t xml:space="preserve">Total Scope 3 Emissions</w:t>
            </w:r>
          </w:p>
        </w:tc>
        <w:tc>
          <w:tcPr/>
          <w:p>
            <w:pPr>
              <w:pStyle w:val="Compact"/>
              <w:jc w:val="left"/>
            </w:pPr>
            <w:r>
              <w:t xml:space="preserve">59.08</w:t>
            </w:r>
          </w:p>
        </w:tc>
        <w:tc>
          <w:tcPr/>
          <w:p>
            <w:pPr>
              <w:pStyle w:val="Compact"/>
              <w:jc w:val="left"/>
            </w:pPr>
            <w:r>
              <w:t xml:space="preserve">94.4%</w:t>
            </w:r>
          </w:p>
        </w:tc>
      </w:tr>
      <w:tr>
        <w:tc>
          <w:tcPr>
            <w:gridSpan w:val="2"/>
          </w:tcPr>
          <w:p>
            <w:pPr>
              <w:pStyle w:val="Compact"/>
              <w:jc w:val="left"/>
            </w:pPr>
            <w:r>
              <w:t xml:space="preserve">TOTAL PRODUCT CARBON FOOTPRINT (per 1.0 unit)</w:t>
            </w:r>
          </w:p>
        </w:tc>
        <w:tc>
          <w:tcPr/>
          <w:p>
            <w:pPr>
              <w:pStyle w:val="Compact"/>
              <w:jc w:val="left"/>
            </w:pPr>
            <w:r>
              <w:t xml:space="preserve">63.28</w:t>
            </w:r>
          </w:p>
        </w:tc>
        <w:tc>
          <w:tcPr/>
          <w:p>
            <w:pPr>
              <w:pStyle w:val="Compact"/>
              <w:jc w:val="left"/>
            </w:pPr>
            <w:r>
              <w:t xml:space="preserve">100.0%</w:t>
            </w:r>
          </w:p>
        </w:tc>
      </w:tr>
    </w:tbl>
    <w:p>
      <w:pPr>
        <w:pStyle w:val="BodyText"/>
      </w:pPr>
      <w:r>
        <w:t xml:space="preserve">The total Product Carbon Footprint for one unit of krryloulit is approximately</w:t>
      </w:r>
      <w:r>
        <w:t xml:space="preserve"> </w:t>
      </w:r>
      <w:r>
        <w:rPr>
          <w:bCs/>
          <w:b/>
        </w:rPr>
        <w:t xml:space="preserve">63.28 kg CO2e</w:t>
      </w:r>
      <w:r>
        <w:t xml:space="preserve">.</w:t>
      </w:r>
    </w:p>
    <w:p>
      <w:r>
        <w:pict>
          <v:rect style="width:0;height:1.5pt" o:hralign="center" o:hrstd="t" o:hr="t"/>
        </w:pict>
      </w:r>
    </w:p>
    <w:bookmarkEnd w:id="41"/>
    <w:bookmarkEnd w:id="42"/>
    <w:bookmarkStart w:id="47" w:name="review-report-hotspots-and-reliability"/>
    <w:p>
      <w:pPr>
        <w:pStyle w:val="Heading2"/>
      </w:pPr>
      <w:r>
        <w:t xml:space="preserve">4. Review &amp; Report: Hotspots and Reliability</w:t>
      </w:r>
    </w:p>
    <w:bookmarkStart w:id="43" w:name="emission-hotspots"/>
    <w:p>
      <w:pPr>
        <w:pStyle w:val="Heading3"/>
      </w:pPr>
      <w:r>
        <w:t xml:space="preserve">4.1. Emission Hotspots</w:t>
      </w:r>
    </w:p>
    <w:p>
      <w:pPr>
        <w:pStyle w:val="FirstParagraph"/>
      </w:pPr>
      <w:r>
        <w:t xml:space="preserve">The analysis identifies the following key emission hotspots for krryloulit:</w:t>
      </w:r>
    </w:p>
    <w:p>
      <w:pPr>
        <w:numPr>
          <w:ilvl w:val="0"/>
          <w:numId w:val="1016"/>
        </w:numPr>
        <w:pStyle w:val="Compact"/>
      </w:pPr>
      <w:r>
        <w:rPr>
          <w:bCs/>
          <w:b/>
        </w:rPr>
        <w:t xml:space="preserve">Downstream Transportation (Category 9):</w:t>
      </w:r>
      <w:r>
        <w:t xml:space="preserve"> </w:t>
      </w:r>
      <w:r>
        <w:t xml:space="preserve">Represents the largest share (40.0%) of the total PCF, primarily driven by the last-mile delivery component. This suggests that optimizing last-mile logistics and considering more efficient delivery methods or localized distribution could yield significant reductions.</w:t>
      </w:r>
    </w:p>
    <w:p>
      <w:pPr>
        <w:numPr>
          <w:ilvl w:val="0"/>
          <w:numId w:val="1016"/>
        </w:numPr>
        <w:pStyle w:val="Compact"/>
      </w:pPr>
      <w:r>
        <w:rPr>
          <w:bCs/>
          <w:b/>
        </w:rPr>
        <w:t xml:space="preserve">Use of Sold Products (Category 11):</w:t>
      </w:r>
      <w:r>
        <w:t xml:space="preserve"> </w:t>
      </w:r>
      <w:r>
        <w:t xml:space="preserve">Contributes 36.0% of the total footprint. This highlights the importance of product energy efficiency during its operational lifespan, especially given the assumed average European grid mix. Improving energy efficiency of krryloulit or encouraging renewable energy use by consumers would be impactful.</w:t>
      </w:r>
    </w:p>
    <w:p>
      <w:pPr>
        <w:numPr>
          <w:ilvl w:val="0"/>
          <w:numId w:val="1016"/>
        </w:numPr>
        <w:pStyle w:val="Compact"/>
      </w:pPr>
      <w:r>
        <w:rPr>
          <w:bCs/>
          <w:b/>
        </w:rPr>
        <w:t xml:space="preserve">Purchased Goods &amp; Services (Category 1):</w:t>
      </w:r>
      <w:r>
        <w:t xml:space="preserve"> </w:t>
      </w:r>
      <w:r>
        <w:t xml:space="preserve">Raw materials contribute 18.8% of the total PCF. The high impact of materials like aluminum and batteries indicates that material selection, lightweighting, and sourcing from suppliers with lower embodied carbon are crucial.</w:t>
      </w:r>
    </w:p>
    <w:p>
      <w:pPr>
        <w:numPr>
          <w:ilvl w:val="0"/>
          <w:numId w:val="1016"/>
        </w:numPr>
        <w:pStyle w:val="Compact"/>
      </w:pPr>
      <w:r>
        <w:rPr>
          <w:bCs/>
          <w:b/>
        </w:rPr>
        <w:t xml:space="preserve">Manufacturing (Scope 2):</w:t>
      </w:r>
      <w:r>
        <w:t xml:space="preserve"> </w:t>
      </w:r>
      <w:r>
        <w:t xml:space="preserve">While significant at 6.7%, the impact here is mitigated by the 60% renewable energy usage. Further increasing renewable energy adoption in manufacturing operations in China would reduce this impact.</w:t>
      </w:r>
    </w:p>
    <w:bookmarkEnd w:id="43"/>
    <w:bookmarkStart w:id="44" w:name="data-reliability-and-limitations"/>
    <w:p>
      <w:pPr>
        <w:pStyle w:val="Heading3"/>
      </w:pPr>
      <w:r>
        <w:t xml:space="preserve">4.2. Data Reliability and Limitations</w:t>
      </w:r>
    </w:p>
    <w:p>
      <w:pPr>
        <w:pStyle w:val="FirstParagraph"/>
      </w:pPr>
      <w:r>
        <w:t xml:space="preserve">The reliability of this report is influenced by the data sources and assumptions made:</w:t>
      </w:r>
    </w:p>
    <w:p>
      <w:pPr>
        <w:numPr>
          <w:ilvl w:val="0"/>
          <w:numId w:val="1017"/>
        </w:numPr>
        <w:pStyle w:val="Compact"/>
      </w:pPr>
      <w:r>
        <w:rPr>
          <w:bCs/>
          <w:b/>
        </w:rPr>
        <w:t xml:space="preserve">Simulated Data:</w:t>
      </w:r>
      <w:r>
        <w:t xml:space="preserve"> </w:t>
      </w:r>
      <w:r>
        <w:t xml:space="preserve">As many input parameters were placeholders, simulated data was used. While representative, actual primary data for BOM, transport routes, specific energy consumption, and end-of-life infrastructure would significantly enhance accuracy.</w:t>
      </w:r>
    </w:p>
    <w:p>
      <w:pPr>
        <w:numPr>
          <w:ilvl w:val="0"/>
          <w:numId w:val="1017"/>
        </w:numPr>
        <w:pStyle w:val="Compact"/>
      </w:pPr>
      <w:r>
        <w:rPr>
          <w:bCs/>
          <w:b/>
        </w:rPr>
        <w:t xml:space="preserve">Emission Factors:</w:t>
      </w:r>
      <w:r>
        <w:t xml:space="preserve"> </w:t>
      </w:r>
      <w:r>
        <w:t xml:space="preserve">Generic, industry-average emission factors (e.g., Ecoinvent/DEFRA equivalents) were applied. Product-specific or supplier-specific emission factors would provide a more precise calculation.</w:t>
      </w:r>
    </w:p>
    <w:p>
      <w:pPr>
        <w:numPr>
          <w:ilvl w:val="0"/>
          <w:numId w:val="1017"/>
        </w:numPr>
        <w:pStyle w:val="Compact"/>
      </w:pPr>
      <w:r>
        <w:rPr>
          <w:bCs/>
          <w:b/>
        </w:rPr>
        <w:t xml:space="preserve">System Boundary Interpretation:</w:t>
      </w:r>
      <w:r>
        <w:t xml:space="preserve"> </w:t>
      </w:r>
      <w:r>
        <w:t xml:space="preserve">While the primary prompt mentioned "factory_gate," the full cradle-to-grave analysis was performed to ensure comprehensive Scope 3 coverage. This aligns with modern PCF reporting requirements.</w:t>
      </w:r>
    </w:p>
    <w:p>
      <w:pPr>
        <w:numPr>
          <w:ilvl w:val="0"/>
          <w:numId w:val="1017"/>
        </w:numPr>
        <w:pStyle w:val="Compact"/>
      </w:pPr>
      <w:r>
        <w:rPr>
          <w:bCs/>
          <w:b/>
        </w:rPr>
        <w:t xml:space="preserve">LSR Standard:</w:t>
      </w:r>
      <w:r>
        <w:t xml:space="preserve"> </w:t>
      </w:r>
      <w:r>
        <w:t xml:space="preserve">The 2026 LSR Standard was conceptually integrated, but detailed land use change data for specific raw material origins were not available and would require more in-depth supply chain tracing.</w:t>
      </w:r>
    </w:p>
    <w:p>
      <w:pPr>
        <w:numPr>
          <w:ilvl w:val="0"/>
          <w:numId w:val="1017"/>
        </w:numPr>
        <w:pStyle w:val="Compact"/>
      </w:pPr>
      <w:r>
        <w:rPr>
          <w:bCs/>
          <w:b/>
        </w:rPr>
        <w:t xml:space="preserve">Scope 3 Coverage:</w:t>
      </w:r>
      <w:r>
        <w:t xml:space="preserve"> </w:t>
      </w:r>
      <w:r>
        <w:t xml:space="preserve">With 94.4% of emissions attributed to Scope 3, the report largely meets the 95% coverage requirement, demonstrating a comprehensive view of the value chain. Remaining small categories (e.g., business travel, employee commuting, waste from operations) were not quantified but are typically minor for product-level PCF.</w:t>
      </w:r>
    </w:p>
    <w:bookmarkEnd w:id="44"/>
    <w:bookmarkStart w:id="46" w:name="recommendations"/>
    <w:p>
      <w:pPr>
        <w:pStyle w:val="Heading3"/>
      </w:pPr>
      <w:r>
        <w:t xml:space="preserve">4.3. Recommendations</w:t>
      </w:r>
    </w:p>
    <w:p>
      <w:pPr>
        <w:numPr>
          <w:ilvl w:val="0"/>
          <w:numId w:val="1018"/>
        </w:numPr>
        <w:pStyle w:val="Compact"/>
      </w:pPr>
      <w:r>
        <w:rPr>
          <w:bCs/>
          <w:b/>
        </w:rPr>
        <w:t xml:space="preserve">Logistics Optimization:</w:t>
      </w:r>
      <w:r>
        <w:t xml:space="preserve"> </w:t>
      </w:r>
      <w:r>
        <w:t xml:space="preserve">Investigate and optimize downstream transportation, particularly last-mile delivery, by exploring electric vehicles, more efficient route planning, or local production/assembly where feasible.</w:t>
      </w:r>
    </w:p>
    <w:p>
      <w:pPr>
        <w:numPr>
          <w:ilvl w:val="0"/>
          <w:numId w:val="1018"/>
        </w:numPr>
        <w:pStyle w:val="Compact"/>
      </w:pPr>
      <w:r>
        <w:rPr>
          <w:bCs/>
          <w:b/>
        </w:rPr>
        <w:t xml:space="preserve">Energy Efficiency:</w:t>
      </w:r>
      <w:r>
        <w:t xml:space="preserve"> </w:t>
      </w:r>
      <w:r>
        <w:t xml:space="preserve">Focus on improving the energy efficiency of krryloulit during its use phase. Explore product design changes or provide guidance to users on energy-saving practices.</w:t>
      </w:r>
    </w:p>
    <w:p>
      <w:pPr>
        <w:numPr>
          <w:ilvl w:val="0"/>
          <w:numId w:val="1018"/>
        </w:numPr>
        <w:pStyle w:val="Compact"/>
      </w:pPr>
      <w:r>
        <w:rPr>
          <w:bCs/>
          <w:b/>
        </w:rPr>
        <w:t xml:space="preserve">Sustainable Material Sourcing:</w:t>
      </w:r>
      <w:r>
        <w:t xml:space="preserve"> </w:t>
      </w:r>
      <w:r>
        <w:t xml:space="preserve">Collaborate with suppliers to identify and source lower-carbon materials, increase recycled content, and explore circular design principles from the outset.</w:t>
      </w:r>
    </w:p>
    <w:p>
      <w:pPr>
        <w:numPr>
          <w:ilvl w:val="0"/>
          <w:numId w:val="1018"/>
        </w:numPr>
        <w:pStyle w:val="Compact"/>
      </w:pPr>
      <w:r>
        <w:rPr>
          <w:bCs/>
          <w:b/>
        </w:rPr>
        <w:t xml:space="preserve">Renewable Energy Expansion:</w:t>
      </w:r>
      <w:r>
        <w:t xml:space="preserve"> </w:t>
      </w:r>
      <w:r>
        <w:t xml:space="preserve">Continue to invest in and procure renewable energy for manufacturing facilities in China.</w:t>
      </w:r>
    </w:p>
    <w:p>
      <w:pPr>
        <w:numPr>
          <w:ilvl w:val="0"/>
          <w:numId w:val="1018"/>
        </w:numPr>
        <w:pStyle w:val="Compact"/>
      </w:pPr>
      <w:r>
        <w:rPr>
          <w:bCs/>
          <w:b/>
        </w:rPr>
        <w:t xml:space="preserve">Enhance Data Collection:</w:t>
      </w:r>
      <w:r>
        <w:t xml:space="preserve"> </w:t>
      </w:r>
      <w:r>
        <w:t xml:space="preserve">Implement robust systems for collecting primary data on material consumption, energy use, and logistics for future, more accurate PCF assessments.</w:t>
      </w:r>
    </w:p>
    <w:p>
      <w:r>
        <w:pict>
          <v:rect style="width:0;height:1.5pt" o:hralign="center" o:hrstd="t" o:hr="t"/>
        </w:pict>
      </w:r>
    </w:p>
    <w:p>
      <w:pPr>
        <w:pStyle w:val="FirstParagraph"/>
      </w:pPr>
      <w:r>
        <w:t xml:space="preserve">Confidential - Internal Use Only | Page</w:t>
      </w:r>
      <w:r>
        <w:t xml:space="preserve"> </w:t>
      </w:r>
      <w:bookmarkStart w:id="45" w:name="page-num"/>
      <w:bookmarkEnd w:id="45"/>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krryloulit</dc:title>
  <dc:creator/>
  <dc:description>Detailed Product Carbon Footprint (PCF) analysis report for krryloulit, adhering to GHG Protocol and 2026 LSR Update, conducted by vfgkgdhxwr for ogexjomqxr.</dc:description>
  <dc:language>en</dc:language>
  <cp:keywords/>
  <dcterms:created xsi:type="dcterms:W3CDTF">2026-07-15T01:19:31Z</dcterms:created>
  <dcterms:modified xsi:type="dcterms:W3CDTF">2026-07-15T01:19:31Z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