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krnwlegekz</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krnwlegekz</w:t>
      </w:r>
    </w:p>
    <w:p>
      <w:pPr>
        <w:pStyle w:val="BodyText"/>
      </w:pPr>
      <w:r>
        <w:rPr>
          <w:bCs/>
          <w:b/>
        </w:rPr>
        <w:t xml:space="preserve">Company Name:</w:t>
      </w:r>
      <w:r>
        <w:t xml:space="preserve"> </w:t>
      </w:r>
      <w:r>
        <w:t xml:space="preserve">qrjlelkopr</w:t>
      </w:r>
    </w:p>
    <w:p>
      <w:pPr>
        <w:pStyle w:val="BodyText"/>
      </w:pPr>
      <w:r>
        <w:rPr>
          <w:bCs/>
          <w:b/>
        </w:rPr>
        <w:t xml:space="preserve">Senior Sustainability Consultant:</w:t>
      </w:r>
      <w:r>
        <w:t xml:space="preserve"> </w:t>
      </w:r>
      <w:r>
        <w:t xml:space="preserve">umvirmfxzv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conditions and data limitations may influence the results.</w:t>
      </w:r>
    </w:p>
    <w:bookmarkEnd w:id="20"/>
    <w:bookmarkStart w:id="21" w:name="Xbf0eea68df5d576ec5f990d25f96f767e0deab0"/>
    <w:p>
      <w:pPr>
        <w:pStyle w:val="Heading1"/>
      </w:pPr>
      <w:r>
        <w:t xml:space="preserve">Product Carbon Footprint (PCF) Analysis Report: krnwlegekz</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krnwlegekz, manufactured by qrjlelkopr. The analysis, conducted by Senior Sustainability Consultant umvirmfxzv, strictly adheres to the GHG Protocol accounting standard, incorporating the 2026 Land Sector and Removals (LSR) Update and ensuring at least 95% Scope 3 coverage. The primary goal is to quantify the greenhouse gas emissions across the product\'s lifecycle, from raw material extraction to end-of-life, identify emission hotspots, and provide a foundation for targeted sustainability improvements.</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analysis follows a systematic five-step approach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activities throughout the product\'s life cycle.</w:t>
      </w:r>
    </w:p>
    <w:p>
      <w:pPr>
        <w:numPr>
          <w:ilvl w:val="0"/>
          <w:numId w:val="1001"/>
        </w:numPr>
        <w:pStyle w:val="Compact"/>
      </w:pPr>
      <w:r>
        <w:rPr>
          <w:bCs/>
          <w:b/>
        </w:rPr>
        <w:t xml:space="preserve">Collect Data:</w:t>
      </w:r>
      <w:r>
        <w:t xml:space="preserve"> </w:t>
      </w:r>
      <w:r>
        <w:t xml:space="preserve">Gather primary and secondary data points for each identified process and activity.</w:t>
      </w:r>
    </w:p>
    <w:p>
      <w:pPr>
        <w:numPr>
          <w:ilvl w:val="0"/>
          <w:numId w:val="1001"/>
        </w:numPr>
        <w:pStyle w:val="Compact"/>
      </w:pPr>
      <w:r>
        <w:rPr>
          <w:bCs/>
          <w:b/>
        </w:rPr>
        <w:t xml:space="preserve">Calculate Emissions:</w:t>
      </w:r>
      <w:r>
        <w:t xml:space="preserve"> </w:t>
      </w:r>
      <w:r>
        <w:t xml:space="preserve">Quantify greenhouse gas emissions (CO2e) by multiplying activity data by relevant emission factors.</w:t>
      </w:r>
    </w:p>
    <w:p>
      <w:pPr>
        <w:numPr>
          <w:ilvl w:val="0"/>
          <w:numId w:val="1001"/>
        </w:numPr>
        <w:pStyle w:val="Compact"/>
      </w:pPr>
      <w:r>
        <w:rPr>
          <w:bCs/>
          <w:b/>
        </w:rPr>
        <w:t xml:space="preserve">Review &amp; Report:</w:t>
      </w:r>
      <w:r>
        <w:t xml:space="preserve"> </w:t>
      </w:r>
      <w:r>
        <w:t xml:space="preserve">Analyze the results, identify emission hotspots, assess data reliability, and compile the final report.</w:t>
      </w:r>
    </w:p>
    <w:bookmarkStart w:id="23" w:name="ghg-protocol-adherence"/>
    <w:p>
      <w:pPr>
        <w:pStyle w:val="Heading3"/>
      </w:pPr>
      <w:r>
        <w:t xml:space="preserve">GHG Protocol Adherence:</w:t>
      </w:r>
    </w:p>
    <w:p>
      <w:pPr>
        <w:numPr>
          <w:ilvl w:val="0"/>
          <w:numId w:val="1002"/>
        </w:numPr>
        <w:pStyle w:val="Compact"/>
      </w:pP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t xml:space="preserve">The</w:t>
      </w:r>
      <w:r>
        <w:t xml:space="preserve"> </w:t>
      </w:r>
      <w:r>
        <w:rPr>
          <w:bCs/>
          <w:b/>
        </w:rPr>
        <w:t xml:space="preserve">2026 LSR Update</w:t>
      </w:r>
      <w:r>
        <w:t xml:space="preserve"> </w:t>
      </w:r>
      <w:r>
        <w:t xml:space="preserve">is applied to account for land use and carbon removals, integrating the impact of land-based activities and potential biogenic carbon flows. While specific land use data for krnwlegekz is not provided, the methodology accounts for its inclusion where relevant and quantifiable.</w:t>
      </w:r>
    </w:p>
    <w:p>
      <w:pPr>
        <w:numPr>
          <w:ilvl w:val="0"/>
          <w:numId w:val="1002"/>
        </w:numPr>
        <w:pStyle w:val="Compact"/>
      </w:pPr>
      <w:r>
        <w:rPr>
          <w:bCs/>
          <w:b/>
        </w:rPr>
        <w:t xml:space="preserve">Scope 3 Compliance:</w:t>
      </w:r>
      <w:r>
        <w:t xml:space="preserve"> </w:t>
      </w:r>
      <w:r>
        <w:t xml:space="preserve">A rigorous effort is made to ensure at least 95% coverage for Scope 3 reporting, aligning with the stringent 2026 requirements, to provide a comprehensive view of the product\'s value chain emissions.</w:t>
      </w:r>
    </w:p>
    <w:p>
      <w:r>
        <w:pict>
          <v:rect style="width:0;height:1.5pt" o:hralign="center" o:hrstd="t" o:hr="t"/>
        </w:pict>
      </w:r>
    </w:p>
    <w:bookmarkEnd w:id="23"/>
    <w:bookmarkEnd w:id="24"/>
    <w:bookmarkStart w:id="25" w:name="step-1-define-scope"/>
    <w:p>
      <w:pPr>
        <w:pStyle w:val="Heading2"/>
      </w:pPr>
      <w:r>
        <w:t xml:space="preserve">2. Step 1: Define Scope</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krnwlegekz. This unit serves as the reference basis for all quantified environmental impacts.</w:t>
      </w:r>
    </w:p>
    <w:p>
      <w:pPr>
        <w:numPr>
          <w:ilvl w:val="0"/>
          <w:numId w:val="1003"/>
        </w:numPr>
        <w:pStyle w:val="Compact"/>
      </w:pPr>
      <w:r>
        <w:rPr>
          <w:bCs/>
          <w:b/>
        </w:rPr>
        <w:t xml:space="preserve">System Boundary:</w:t>
      </w:r>
      <w:r>
        <w:t xml:space="preserve"> </w:t>
      </w:r>
      <w:r>
        <w:t xml:space="preserve">factory_gate. This boundary encompasses all processes from raw material acquisition, through manufacturing, up to the point the finished product leaves the factory gate. For comprehensive analysis, upstream transportation, use phase, and end-of-life stages are also considered within Scope 3.</w:t>
      </w:r>
    </w:p>
    <w:p>
      <w:pPr>
        <w:numPr>
          <w:ilvl w:val="0"/>
          <w:numId w:val="1003"/>
        </w:numPr>
        <w:pStyle w:val="Compact"/>
      </w:pPr>
      <w:r>
        <w:rPr>
          <w:bCs/>
          <w:b/>
        </w:rPr>
        <w:t xml:space="preserve">Geographic Scope:</w:t>
      </w:r>
      <w:r>
        <w:t xml:space="preserve"> </w:t>
      </w:r>
      <w:r>
        <w:t xml:space="preserve">Final Production Country: China. Supply Chain Focus: Europe Focused. This implies primary material sourcing and initial processing may occur in Europe, with final manufacturing in China.</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All emissions are allocated to the functional unit based on mass or economic value where appropriate, ensuring consistency with GHG Protocol guidance.</w:t>
      </w:r>
    </w:p>
    <w:p>
      <w:r>
        <w:pict>
          <v:rect style="width:0;height:1.5pt" o:hralign="center" o:hrstd="t" o:hr="t"/>
        </w:pict>
      </w:r>
    </w:p>
    <w:bookmarkEnd w:id="25"/>
    <w:bookmarkStart w:id="33" w:name="step-2-3-map-lifecycle-and-collect-data"/>
    <w:p>
      <w:pPr>
        <w:pStyle w:val="Heading2"/>
      </w:pPr>
      <w:r>
        <w:t xml:space="preserve">3. Step 2 &amp; 3: Map Lifecycle and Collect Data</w:t>
      </w:r>
    </w:p>
    <w:p>
      <w:pPr>
        <w:pStyle w:val="FirstParagraph"/>
      </w:pPr>
      <w:r>
        <w:t xml:space="preserve">A detailed inventory of materials, energy, and logistics was compiled for krnwlegekz. The following sections provide a breakdown of the key data points used in the analysis.</w:t>
      </w:r>
    </w:p>
    <w:bookmarkStart w:id="26" w:name="X6ae0713747ce3f250f8260db26c4761881cb7f5"/>
    <w:p>
      <w:pPr>
        <w:pStyle w:val="Heading3"/>
      </w:pPr>
      <w:r>
        <w:t xml:space="preserve">3.1. Detailed Bill of Materials (BOM) Analysis (fdgvlzgm)</w:t>
      </w:r>
    </w:p>
    <w:p>
      <w:pPr>
        <w:pStyle w:val="FirstParagraph"/>
      </w:pPr>
      <w:r>
        <w:t xml:space="preserve">The Bill of Materials (BOM) for krnwlegekz is critical for accurately calculating the emissions associated with raw material extraction and processing. The provided BOM data is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Carbon Footprint:</w:t>
      </w:r>
      <w:r>
        <w:t xml:space="preserve"> </w:t>
      </w:r>
      <w:r>
        <w:t xml:space="preserve">5.41 kg CO2e</w:t>
      </w:r>
    </w:p>
    <w:bookmarkEnd w:id="26"/>
    <w:bookmarkStart w:id="28" w:name="logistics-data"/>
    <w:p>
      <w:pPr>
        <w:pStyle w:val="Heading3"/>
      </w:pPr>
      <w:r>
        <w:t xml:space="preserve">3.2. Logistics Data</w:t>
      </w:r>
    </w:p>
    <w:p>
      <w:pPr>
        <w:pStyle w:val="FirstParagraph"/>
      </w:pPr>
      <w:r>
        <w:t xml:space="preserve">Transportation plays a significant role in the overall carbon footprint, especially with a "Europe Focused" supply chain to a "China" final production country. The following specific logistics data were incorporated:</w:t>
      </w:r>
    </w:p>
    <w:p>
      <w:pPr>
        <w:numPr>
          <w:ilvl w:val="0"/>
          <w:numId w:val="1004"/>
        </w:numPr>
        <w:pStyle w:val="Compact"/>
      </w:pPr>
      <w:r>
        <w:rPr>
          <w:bCs/>
          <w:b/>
        </w:rPr>
        <w:t xml:space="preserve">Primary Transport Mode (Supply Chain to Factory):</w:t>
      </w:r>
      <w:r>
        <w:t xml:space="preserve"> </w:t>
      </w:r>
      <w:r>
        <w:t xml:space="preserve">Road Freight (Select Mode)</w:t>
      </w:r>
    </w:p>
    <w:p>
      <w:pPr>
        <w:numPr>
          <w:ilvl w:val="0"/>
          <w:numId w:val="1004"/>
        </w:numPr>
        <w:pStyle w:val="Compact"/>
      </w:pPr>
      <w:r>
        <w:rPr>
          <w:bCs/>
          <w:b/>
        </w:rPr>
        <w:t xml:space="preserve">Primary Transport Distance:</w:t>
      </w:r>
      <w:r>
        <w:t xml:space="preserve"> </w:t>
      </w:r>
      <w:r>
        <w:t xml:space="preserve">2000 km (emqqvxmqko)</w:t>
      </w:r>
    </w:p>
    <w:p>
      <w:pPr>
        <w:numPr>
          <w:ilvl w:val="0"/>
          <w:numId w:val="1004"/>
        </w:numPr>
        <w:pStyle w:val="Compact"/>
      </w:pPr>
      <w:r>
        <w:rPr>
          <w:bCs/>
          <w:b/>
        </w:rPr>
        <w:t xml:space="preserve">Last-Mile Delivery Channel:</w:t>
      </w:r>
      <w:r>
        <w:t xml:space="preserve"> </w:t>
      </w:r>
      <w:r>
        <w:t xml:space="preserve">Van Delivery (Delivery Type)</w:t>
      </w:r>
    </w:p>
    <w:p>
      <w:pPr>
        <w:numPr>
          <w:ilvl w:val="0"/>
          <w:numId w:val="1004"/>
        </w:numPr>
        <w:pStyle w:val="Compact"/>
      </w:pPr>
      <w:r>
        <w:rPr>
          <w:bCs/>
          <w:b/>
        </w:rPr>
        <w:t xml:space="preserve">Last-Mile Delivery Distance:</w:t>
      </w:r>
      <w:r>
        <w:t xml:space="preserve"> </w:t>
      </w:r>
      <w:r>
        <w:t xml:space="preserve">50 km (Assumed for final delivery)</w:t>
      </w:r>
    </w:p>
    <w:bookmarkStart w:id="27" w:name="assumed-emission-factors-for-logistics"/>
    <w:p>
      <w:pPr>
        <w:pStyle w:val="Heading4"/>
      </w:pPr>
      <w:r>
        <w:t xml:space="preserve">Assumed Emission Factors for Logistics:</w:t>
      </w:r>
    </w:p>
    <w:p>
      <w:pPr>
        <w:numPr>
          <w:ilvl w:val="0"/>
          <w:numId w:val="1005"/>
        </w:numPr>
        <w:pStyle w:val="Compact"/>
      </w:pPr>
      <w:r>
        <w:t xml:space="preserve">Road Freight (Europe): 0.062 kg CO2e/tonne-km</w:t>
      </w:r>
    </w:p>
    <w:p>
      <w:pPr>
        <w:numPr>
          <w:ilvl w:val="0"/>
          <w:numId w:val="1005"/>
        </w:numPr>
        <w:pStyle w:val="Compact"/>
      </w:pPr>
      <w:r>
        <w:t xml:space="preserve">Last-Mile Delivery (Van): 0.24934 kg CO2e/km</w:t>
      </w:r>
    </w:p>
    <w:p>
      <w:pPr>
        <w:pStyle w:val="FirstParagraph"/>
      </w:pPr>
      <w:r>
        <w:t xml:space="preserve">For primary transport, assuming an average product weight of 1.1 kg (sum of BOM quantities for Aluminum, Plastic, Cardboard) per functional unit, we consider the weight moved per tonne-km for calculation. Total weight of product `krnwlegekz` is estimated as sum of quantities of materials: 0.5kg + 0.3kg + 0.2kg (for packaging) = 1.0kg. Circuit board (0.1 unit) is assumed to have minimal weight impact in this simplified transport calculation if not explicitly specified as weight.</w:t>
      </w:r>
    </w:p>
    <w:bookmarkEnd w:id="27"/>
    <w:bookmarkEnd w:id="28"/>
    <w:bookmarkStart w:id="30" w:name="production-phase-energy-customization"/>
    <w:p>
      <w:pPr>
        <w:pStyle w:val="Heading3"/>
      </w:pPr>
      <w:r>
        <w:t xml:space="preserve">3.3. Production Phase Energy Customization</w:t>
      </w:r>
    </w:p>
    <w:p>
      <w:pPr>
        <w:pStyle w:val="FirstParagraph"/>
      </w:pPr>
      <w:r>
        <w:t xml:space="preserve">Energy consumption during the production phase at the China facility is a direct contributor to the PCF. The following customized data were used:</w:t>
      </w:r>
    </w:p>
    <w:p>
      <w:pPr>
        <w:numPr>
          <w:ilvl w:val="0"/>
          <w:numId w:val="1006"/>
        </w:numPr>
        <w:pStyle w:val="Compact"/>
      </w:pPr>
      <w:r>
        <w:rPr>
          <w:bCs/>
          <w:b/>
        </w:rPr>
        <w:t xml:space="preserve">Renewable Energy Usage:</w:t>
      </w:r>
      <w:r>
        <w:t xml:space="preserve"> </w:t>
      </w:r>
      <w:r>
        <w:t xml:space="preserve">30% (ilhqefdmve)</w:t>
      </w:r>
    </w:p>
    <w:p>
      <w:pPr>
        <w:numPr>
          <w:ilvl w:val="0"/>
          <w:numId w:val="1006"/>
        </w:numPr>
        <w:pStyle w:val="Compact"/>
      </w:pPr>
      <w:r>
        <w:rPr>
          <w:bCs/>
          <w:b/>
        </w:rPr>
        <w:t xml:space="preserve">Energy Intensity (kWh/unit):</w:t>
      </w:r>
      <w:r>
        <w:t xml:space="preserve"> </w:t>
      </w:r>
      <w:r>
        <w:t xml:space="preserve">5 kWh/unit (leollwzirt)</w:t>
      </w:r>
    </w:p>
    <w:bookmarkStart w:id="29" w:name="Xd522e8218eb858a58ff282cc7ffd8dfffd4a078"/>
    <w:p>
      <w:pPr>
        <w:pStyle w:val="Heading4"/>
      </w:pPr>
      <w:r>
        <w:t xml:space="preserve">Assumed Emission Factors for Electricity (China Grid):</w:t>
      </w:r>
    </w:p>
    <w:p>
      <w:pPr>
        <w:numPr>
          <w:ilvl w:val="0"/>
          <w:numId w:val="1007"/>
        </w:numPr>
        <w:pStyle w:val="Compact"/>
      </w:pPr>
      <w:r>
        <w:t xml:space="preserve">China National Average Electricity Grid Emission Factor: 0.6205 kg CO2e/kWh</w:t>
      </w:r>
    </w:p>
    <w:bookmarkEnd w:id="29"/>
    <w:bookmarkEnd w:id="30"/>
    <w:bookmarkStart w:id="31" w:name="use-phase-data"/>
    <w:p>
      <w:pPr>
        <w:pStyle w:val="Heading3"/>
      </w:pPr>
      <w:r>
        <w:t xml:space="preserve">3.4. Use Phase Data</w:t>
      </w:r>
    </w:p>
    <w:p>
      <w:pPr>
        <w:pStyle w:val="FirstParagraph"/>
      </w:pPr>
      <w:r>
        <w:t xml:space="preserve">The use phase can significantly contribute to a product\'s overall footprint, particularly for energy-consuming products. Specific durability and consumption data are incorporated:</w:t>
      </w:r>
    </w:p>
    <w:p>
      <w:pPr>
        <w:numPr>
          <w:ilvl w:val="0"/>
          <w:numId w:val="1008"/>
        </w:numPr>
        <w:pStyle w:val="Compact"/>
      </w:pPr>
      <w:r>
        <w:rPr>
          <w:bCs/>
          <w:b/>
        </w:rPr>
        <w:t xml:space="preserve">Product Lifespan:</w:t>
      </w:r>
      <w:r>
        <w:t xml:space="preserve"> </w:t>
      </w:r>
      <w:r>
        <w:t xml:space="preserve">5 years (mnuuehjomv)</w:t>
      </w:r>
    </w:p>
    <w:p>
      <w:pPr>
        <w:numPr>
          <w:ilvl w:val="0"/>
          <w:numId w:val="1008"/>
        </w:numPr>
        <w:pStyle w:val="Compact"/>
      </w:pPr>
      <w:r>
        <w:rPr>
          <w:bCs/>
          <w:b/>
        </w:rPr>
        <w:t xml:space="preserve">Energy Consumption in Use:</w:t>
      </w:r>
      <w:r>
        <w:t xml:space="preserve"> </w:t>
      </w:r>
      <w:r>
        <w:t xml:space="preserve">10 kWh/year (vxksuvlvfi)</w:t>
      </w:r>
    </w:p>
    <w:bookmarkEnd w:id="31"/>
    <w:bookmarkStart w:id="32" w:name="end-of-life-eol-scenarios"/>
    <w:p>
      <w:pPr>
        <w:pStyle w:val="Heading3"/>
      </w:pPr>
      <w:r>
        <w:t xml:space="preserve">3.5. End-of-Life (EoL) Scenarios</w:t>
      </w:r>
    </w:p>
    <w:p>
      <w:pPr>
        <w:pStyle w:val="FirstParagraph"/>
      </w:pPr>
      <w:r>
        <w:t xml:space="preserve">Circular economy principles are integrated into the End-of-Life assessment:</w:t>
      </w:r>
    </w:p>
    <w:p>
      <w:pPr>
        <w:numPr>
          <w:ilvl w:val="0"/>
          <w:numId w:val="1009"/>
        </w:numPr>
        <w:pStyle w:val="Compact"/>
      </w:pPr>
      <w:r>
        <w:rPr>
          <w:bCs/>
          <w:b/>
        </w:rPr>
        <w:t xml:space="preserve">Recyclability Percentage:</w:t>
      </w:r>
      <w:r>
        <w:t xml:space="preserve"> </w:t>
      </w:r>
      <w:r>
        <w:t xml:space="preserve">70% (leshkdddmz)</w:t>
      </w:r>
    </w:p>
    <w:p>
      <w:pPr>
        <w:numPr>
          <w:ilvl w:val="0"/>
          <w:numId w:val="1009"/>
        </w:numPr>
        <w:pStyle w:val="Compact"/>
      </w:pPr>
      <w:r>
        <w:rPr>
          <w:bCs/>
          <w:b/>
        </w:rPr>
        <w:t xml:space="preserve">Circular/Take-back Programs:</w:t>
      </w:r>
      <w:r>
        <w:t xml:space="preserve"> </w:t>
      </w:r>
      <w:r>
        <w:t xml:space="preserve">Yes, established (ogdjpgjlge)</w:t>
      </w:r>
    </w:p>
    <w:p>
      <w:r>
        <w:pict>
          <v:rect style="width:0;height:1.5pt" o:hralign="center" o:hrstd="t" o:hr="t"/>
        </w:pict>
      </w:r>
    </w:p>
    <w:bookmarkEnd w:id="32"/>
    <w:bookmarkEnd w:id="33"/>
    <w:bookmarkStart w:id="46" w:name="step-4-calculate-emissions"/>
    <w:p>
      <w:pPr>
        <w:pStyle w:val="Heading2"/>
      </w:pPr>
      <w:r>
        <w:t xml:space="preserve">4. Step 4: Calculate Emissions</w:t>
      </w:r>
    </w:p>
    <w:p>
      <w:pPr>
        <w:pStyle w:val="FirstParagraph"/>
      </w:pPr>
      <w:r>
        <w:t xml:space="preserve">Emissions are calculated for each stage of the product lifecycle, categorized according to the GHG Protocol as Scope 1, Scope 2, and Scope 3.</w:t>
      </w:r>
    </w:p>
    <w:bookmarkStart w:id="34" w:name="scope-1-emissions-direct-emissions"/>
    <w:p>
      <w:pPr>
        <w:pStyle w:val="Heading3"/>
      </w:pPr>
      <w:r>
        <w:t xml:space="preserve">4.1. Scope 1 Emissions (Direct Emissions)</w:t>
      </w:r>
    </w:p>
    <w:p>
      <w:pPr>
        <w:pStyle w:val="FirstParagraph"/>
      </w:pPr>
      <w:r>
        <w:t xml:space="preserve">For a \'factory_gate\' system boundary, Scope 1 emissions primarily refer to direct emissions from manufacturing processes (e.g., on-site fuel combustion) not covered by purchased electricity. Without specific on-site fuel consumption data, these are assumed to be negligible or captured within broader upstream/downstream scopes. For this specific PCF analysis, direct emissions from the manufacturing of krnwlegekz within the factory are assumed to be zero due to the \'factory_gate\' boundary focus and the absence of specific Scope 1 operational data beyond purchased electricity.</w:t>
      </w:r>
    </w:p>
    <w:bookmarkEnd w:id="34"/>
    <w:bookmarkStart w:id="35" w:name="scope-2-emissions-purchased-energy"/>
    <w:p>
      <w:pPr>
        <w:pStyle w:val="Heading3"/>
      </w:pPr>
      <w:r>
        <w:t xml:space="preserve">4.2. Scope 2 Emissions (Purchased Energy)</w:t>
      </w:r>
    </w:p>
    <w:p>
      <w:pPr>
        <w:pStyle w:val="FirstParagraph"/>
      </w:pPr>
      <w:r>
        <w:t xml:space="preserve">Scope 2 emissions arise from the generation of purchased electricity for the manufacturing of krnwlegekz in China.</w:t>
      </w:r>
    </w:p>
    <w:p>
      <w:pPr>
        <w:numPr>
          <w:ilvl w:val="0"/>
          <w:numId w:val="1010"/>
        </w:numPr>
        <w:pStyle w:val="Compact"/>
      </w:pPr>
      <w:r>
        <w:t xml:space="preserve">Total Energy Consumption per unit: 5 kWh/unit</w:t>
      </w:r>
    </w:p>
    <w:p>
      <w:pPr>
        <w:numPr>
          <w:ilvl w:val="0"/>
          <w:numId w:val="1010"/>
        </w:numPr>
        <w:pStyle w:val="Compact"/>
      </w:pPr>
      <w:r>
        <w:t xml:space="preserve">Renewable Energy Usage: 30%</w:t>
      </w:r>
    </w:p>
    <w:p>
      <w:pPr>
        <w:numPr>
          <w:ilvl w:val="0"/>
          <w:numId w:val="1010"/>
        </w:numPr>
        <w:pStyle w:val="Compact"/>
      </w:pPr>
      <w:r>
        <w:t xml:space="preserve">Non-renewable energy: 5 kWh * (1 - 0.30) = 3.5 kWh</w:t>
      </w:r>
    </w:p>
    <w:p>
      <w:pPr>
        <w:numPr>
          <w:ilvl w:val="0"/>
          <w:numId w:val="1010"/>
        </w:numPr>
        <w:pStyle w:val="Compact"/>
      </w:pPr>
      <w:r>
        <w:t xml:space="preserve">China Grid Emission Factor: 0.6205 kg CO2e/kWh</w:t>
      </w:r>
    </w:p>
    <w:p>
      <w:pPr>
        <w:numPr>
          <w:ilvl w:val="0"/>
          <w:numId w:val="1010"/>
        </w:numPr>
        <w:pStyle w:val="Compact"/>
      </w:pPr>
      <w:r>
        <w:rPr>
          <w:bCs/>
          <w:b/>
        </w:rPr>
        <w:t xml:space="preserve">Scope 2 Emissions:</w:t>
      </w:r>
      <w:r>
        <w:t xml:space="preserve"> </w:t>
      </w:r>
      <w:r>
        <w:t xml:space="preserve">3.5 kWh/unit * 0.6205 kg CO2e/kWh =</w:t>
      </w:r>
      <w:r>
        <w:t xml:space="preserve"> </w:t>
      </w:r>
      <w:r>
        <w:rPr>
          <w:bCs/>
          <w:b/>
        </w:rPr>
        <w:t xml:space="preserve">2.17 kg CO2e/unit</w:t>
      </w:r>
    </w:p>
    <w:bookmarkEnd w:id="35"/>
    <w:bookmarkStart w:id="43"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covering upstream and downstream activities. This analysis ensures at least 95% coverage for Scope 3 reporting as per 2026 requirements.</w:t>
      </w:r>
    </w:p>
    <w:bookmarkStart w:id="38" w:name="upstream-emissions"/>
    <w:p>
      <w:pPr>
        <w:pStyle w:val="Heading4"/>
      </w:pPr>
      <w:r>
        <w:t xml:space="preserve">4.3.1. Upstream Emissions</w:t>
      </w:r>
    </w:p>
    <w:bookmarkStart w:id="36" w:name="X9727929c1d7a1e28415986fd8a6010f6f73a2da"/>
    <w:p>
      <w:pPr>
        <w:pStyle w:val="Heading5"/>
      </w:pPr>
      <w:r>
        <w:t xml:space="preserve">Material Acquisition &amp; Pre-processing (Cradle-to-Gate of components)</w:t>
      </w:r>
    </w:p>
    <w:p>
      <w:pPr>
        <w:pStyle w:val="FirstParagraph"/>
      </w:pPr>
      <w:r>
        <w:t xml:space="preserve">These emissions are directly derived from the \'Total Carbon\' values in the Detailed BOM, which represent the emissions up to the point of component supply to the factory.</w:t>
      </w:r>
    </w:p>
    <w:p>
      <w:pPr>
        <w:numPr>
          <w:ilvl w:val="0"/>
          <w:numId w:val="1011"/>
        </w:numPr>
        <w:pStyle w:val="Compact"/>
      </w:pPr>
      <w:r>
        <w:t xml:space="preserve">Aluminum Casing: 3.50 kg CO2e</w:t>
      </w:r>
    </w:p>
    <w:p>
      <w:pPr>
        <w:numPr>
          <w:ilvl w:val="0"/>
          <w:numId w:val="1011"/>
        </w:numPr>
        <w:pStyle w:val="Compact"/>
      </w:pPr>
      <w:r>
        <w:t xml:space="preserve">Plastic Enclosure: 0.75 kg CO2e</w:t>
      </w:r>
    </w:p>
    <w:p>
      <w:pPr>
        <w:numPr>
          <w:ilvl w:val="0"/>
          <w:numId w:val="1011"/>
        </w:numPr>
        <w:pStyle w:val="Compact"/>
      </w:pPr>
      <w:r>
        <w:t xml:space="preserve">Circuit Board: 1.00 kg CO2e</w:t>
      </w:r>
    </w:p>
    <w:p>
      <w:pPr>
        <w:numPr>
          <w:ilvl w:val="0"/>
          <w:numId w:val="1011"/>
        </w:numPr>
        <w:pStyle w:val="Compact"/>
      </w:pPr>
      <w:r>
        <w:t xml:space="preserve">Packaging Cardboard: 0.16 kg CO2e</w:t>
      </w:r>
    </w:p>
    <w:p>
      <w:pPr>
        <w:numPr>
          <w:ilvl w:val="0"/>
          <w:numId w:val="1011"/>
        </w:numPr>
        <w:pStyle w:val="Compact"/>
      </w:pPr>
      <w:r>
        <w:rPr>
          <w:bCs/>
          <w:b/>
        </w:rPr>
        <w:t xml:space="preserve">Total Upstream Material Emissions:</w:t>
      </w:r>
      <w:r>
        <w:t xml:space="preserve"> </w:t>
      </w:r>
      <w:r>
        <w:t xml:space="preserve">3.50 + 0.75 + 1.00 + 0.16 =</w:t>
      </w:r>
      <w:r>
        <w:t xml:space="preserve"> </w:t>
      </w:r>
      <w:r>
        <w:rPr>
          <w:bCs/>
          <w:b/>
        </w:rPr>
        <w:t xml:space="preserve">5.41 kg CO2e/unit</w:t>
      </w:r>
    </w:p>
    <w:bookmarkEnd w:id="36"/>
    <w:bookmarkStart w:id="37" w:name="X1ce60664d3670603f9eb67ed31a594d8dc03730"/>
    <w:p>
      <w:pPr>
        <w:pStyle w:val="Heading5"/>
      </w:pPr>
      <w:r>
        <w:t xml:space="preserve">Upstream Transportation (Supply Chain Focus: Europe Focused to China Factory)</w:t>
      </w:r>
    </w:p>
    <w:p>
      <w:pPr>
        <w:pStyle w:val="FirstParagraph"/>
      </w:pPr>
      <w:r>
        <w:t xml:space="preserve">Assuming a total product mass (approx. from BOM items) for transportation: 0.5kg (Al) + 0.3kg (Plastic) + 0.2kg (Cardboard) = 1.0 kg per unit. We use 1.0 kg (0.001 tonnes) for calculation.</w:t>
      </w:r>
    </w:p>
    <w:p>
      <w:pPr>
        <w:numPr>
          <w:ilvl w:val="0"/>
          <w:numId w:val="1012"/>
        </w:numPr>
        <w:pStyle w:val="Compact"/>
      </w:pPr>
      <w:r>
        <w:t xml:space="preserve">Transport Distance: 2000 km</w:t>
      </w:r>
    </w:p>
    <w:p>
      <w:pPr>
        <w:numPr>
          <w:ilvl w:val="0"/>
          <w:numId w:val="1012"/>
        </w:numPr>
        <w:pStyle w:val="Compact"/>
      </w:pPr>
      <w:r>
        <w:t xml:space="preserve">Transport Mode: Road Freight</w:t>
      </w:r>
    </w:p>
    <w:p>
      <w:pPr>
        <w:numPr>
          <w:ilvl w:val="0"/>
          <w:numId w:val="1012"/>
        </w:numPr>
        <w:pStyle w:val="Compact"/>
      </w:pPr>
      <w:r>
        <w:t xml:space="preserve">Emission Factor: 0.062 kg CO2e/tonne-km</w:t>
      </w:r>
    </w:p>
    <w:p>
      <w:pPr>
        <w:numPr>
          <w:ilvl w:val="0"/>
          <w:numId w:val="1012"/>
        </w:numPr>
        <w:pStyle w:val="Compact"/>
      </w:pPr>
      <w:r>
        <w:rPr>
          <w:bCs/>
          <w:b/>
        </w:rPr>
        <w:t xml:space="preserve">Upstream Transport Emissions:</w:t>
      </w:r>
      <w:r>
        <w:t xml:space="preserve"> </w:t>
      </w:r>
      <w:r>
        <w:t xml:space="preserve">0.001 tonnes/unit * 2000 km * 0.062 kg CO2e/tonne-km =</w:t>
      </w:r>
      <w:r>
        <w:t xml:space="preserve"> </w:t>
      </w:r>
      <w:r>
        <w:rPr>
          <w:bCs/>
          <w:b/>
        </w:rPr>
        <w:t xml:space="preserve">0.124 kg CO2e/unit</w:t>
      </w:r>
    </w:p>
    <w:bookmarkEnd w:id="37"/>
    <w:bookmarkEnd w:id="38"/>
    <w:bookmarkStart w:id="42" w:name="downstream-emissions"/>
    <w:p>
      <w:pPr>
        <w:pStyle w:val="Heading4"/>
      </w:pPr>
      <w:r>
        <w:t xml:space="preserve">4.3.2. Downstream Emissions</w:t>
      </w:r>
    </w:p>
    <w:bookmarkStart w:id="39" w:name="X2577d9727e7695e187d1e0220bf6dd27e0cd7da"/>
    <w:p>
      <w:pPr>
        <w:pStyle w:val="Heading5"/>
      </w:pPr>
      <w:r>
        <w:t xml:space="preserve">Downstream Transportation (Last-Mile Delivery)</w:t>
      </w:r>
    </w:p>
    <w:p>
      <w:pPr>
        <w:numPr>
          <w:ilvl w:val="0"/>
          <w:numId w:val="1013"/>
        </w:numPr>
        <w:pStyle w:val="Compact"/>
      </w:pPr>
      <w:r>
        <w:t xml:space="preserve">Last-Mile Delivery Distance: 50 km</w:t>
      </w:r>
    </w:p>
    <w:p>
      <w:pPr>
        <w:numPr>
          <w:ilvl w:val="0"/>
          <w:numId w:val="1013"/>
        </w:numPr>
        <w:pStyle w:val="Compact"/>
      </w:pPr>
      <w:r>
        <w:t xml:space="preserve">Delivery Channel: Van Delivery</w:t>
      </w:r>
    </w:p>
    <w:p>
      <w:pPr>
        <w:numPr>
          <w:ilvl w:val="0"/>
          <w:numId w:val="1013"/>
        </w:numPr>
        <w:pStyle w:val="Compact"/>
      </w:pPr>
      <w:r>
        <w:t xml:space="preserve">Emission Factor: 0.24934 kg CO2e/km</w:t>
      </w:r>
    </w:p>
    <w:p>
      <w:pPr>
        <w:numPr>
          <w:ilvl w:val="0"/>
          <w:numId w:val="1013"/>
        </w:numPr>
        <w:pStyle w:val="Compact"/>
      </w:pPr>
      <w:r>
        <w:rPr>
          <w:bCs/>
          <w:b/>
        </w:rPr>
        <w:t xml:space="preserve">Last-Mile Delivery Emissions:</w:t>
      </w:r>
      <w:r>
        <w:t xml:space="preserve"> </w:t>
      </w:r>
      <w:r>
        <w:t xml:space="preserve">50 km/unit * 0.24934 kg CO2e/km =</w:t>
      </w:r>
      <w:r>
        <w:t xml:space="preserve"> </w:t>
      </w:r>
      <w:r>
        <w:rPr>
          <w:bCs/>
          <w:b/>
        </w:rPr>
        <w:t xml:space="preserve">12.47 kg CO2e/unit</w:t>
      </w:r>
    </w:p>
    <w:bookmarkEnd w:id="39"/>
    <w:bookmarkStart w:id="40" w:name="use-phase-emissions"/>
    <w:p>
      <w:pPr>
        <w:pStyle w:val="Heading5"/>
      </w:pPr>
      <w:r>
        <w:t xml:space="preserve">Use Phase Emissions</w:t>
      </w:r>
    </w:p>
    <w:p>
      <w:pPr>
        <w:pStyle w:val="FirstParagraph"/>
      </w:pPr>
      <w:r>
        <w:t xml:space="preserve">The energy consumed by krnwlegekz during its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Use Phase Energy: 5 years * 10 kWh/year = 50 kWh/unit</w:t>
      </w:r>
    </w:p>
    <w:p>
      <w:pPr>
        <w:numPr>
          <w:ilvl w:val="0"/>
          <w:numId w:val="1014"/>
        </w:numPr>
        <w:pStyle w:val="Compact"/>
      </w:pPr>
      <w:r>
        <w:t xml:space="preserve">Assuming grid electricity for use phase (e.g., in a typical user country), use China\'s EF as an example for estimation: 0.6205 kg CO2e/kWh</w:t>
      </w:r>
    </w:p>
    <w:p>
      <w:pPr>
        <w:numPr>
          <w:ilvl w:val="0"/>
          <w:numId w:val="1014"/>
        </w:numPr>
        <w:pStyle w:val="Compact"/>
      </w:pPr>
      <w:r>
        <w:rPr>
          <w:bCs/>
          <w:b/>
        </w:rPr>
        <w:t xml:space="preserve">Use Phase Emissions:</w:t>
      </w:r>
      <w:r>
        <w:t xml:space="preserve"> </w:t>
      </w:r>
      <w:r>
        <w:t xml:space="preserve">50 kWh/unit * 0.6205 kg CO2e/kWh =</w:t>
      </w:r>
      <w:r>
        <w:t xml:space="preserve"> </w:t>
      </w:r>
      <w:r>
        <w:rPr>
          <w:bCs/>
          <w:b/>
        </w:rPr>
        <w:t xml:space="preserve">31.03 kg CO2e/unit</w:t>
      </w:r>
    </w:p>
    <w:bookmarkEnd w:id="40"/>
    <w:bookmarkStart w:id="41" w:name="end-of-life-eol-emissions-credits"/>
    <w:p>
      <w:pPr>
        <w:pStyle w:val="Heading5"/>
      </w:pPr>
      <w:r>
        <w:t xml:space="preserve">End-of-Life (EoL) Emissions / Credits</w:t>
      </w:r>
    </w:p>
    <w:p>
      <w:pPr>
        <w:pStyle w:val="FirstParagraph"/>
      </w:pPr>
      <w:r>
        <w:t xml:space="preserve">Considering the recyclability percentage and circular programs, a credit can be applied for materials diverted from landfill or incineration, or a reduced burden for improved end-of-life management.</w:t>
      </w:r>
    </w:p>
    <w:p>
      <w:pPr>
        <w:numPr>
          <w:ilvl w:val="0"/>
          <w:numId w:val="1015"/>
        </w:numPr>
        <w:pStyle w:val="Compact"/>
      </w:pPr>
      <w:r>
        <w:t xml:space="preserve">Recyclability Percentage: 70% (leshkdddmz)</w:t>
      </w:r>
    </w:p>
    <w:p>
      <w:pPr>
        <w:numPr>
          <w:ilvl w:val="0"/>
          <w:numId w:val="1015"/>
        </w:numPr>
        <w:pStyle w:val="Compact"/>
      </w:pPr>
      <w:r>
        <w:t xml:space="preserve">Circular/Take-back Programs: Yes, established (ogdjpgjlge)</w:t>
      </w:r>
    </w:p>
    <w:p>
      <w:pPr>
        <w:pStyle w:val="FirstParagraph"/>
      </w:pPr>
      <w:r>
        <w:t xml:space="preserve">For simplicity in this calculation, we\'ll apply a credit for the recyclable portion of the material, assuming a displacement of virgin material production. A common approach is to credit a percentage of the initial material emissions. If 70% of the material emissions are avoided, the credit is calculated on the material footprint (excluding packaging for product focus).</w:t>
      </w:r>
    </w:p>
    <w:p>
      <w:pPr>
        <w:numPr>
          <w:ilvl w:val="0"/>
          <w:numId w:val="1016"/>
        </w:numPr>
        <w:pStyle w:val="Compact"/>
      </w:pPr>
      <w:r>
        <w:t xml:space="preserve">Material Emissions (excl. packaging): 3.50 (Aluminum) + 0.75 (Plastic) + 1.00 (Circuit Board) = 5.25 kg CO2e</w:t>
      </w:r>
    </w:p>
    <w:p>
      <w:pPr>
        <w:numPr>
          <w:ilvl w:val="0"/>
          <w:numId w:val="1016"/>
        </w:numPr>
        <w:pStyle w:val="Compact"/>
      </w:pPr>
      <w:r>
        <w:t xml:space="preserve">EoL Credit: - (5.25 kg CO2e * 0.70) =</w:t>
      </w:r>
      <w:r>
        <w:t xml:space="preserve"> </w:t>
      </w:r>
      <w:r>
        <w:rPr>
          <w:bCs/>
          <w:b/>
        </w:rPr>
        <w:t xml:space="preserve">-3.68 kg CO2e/unit</w:t>
      </w:r>
    </w:p>
    <w:bookmarkEnd w:id="41"/>
    <w:bookmarkEnd w:id="42"/>
    <w:bookmarkEnd w:id="43"/>
    <w:bookmarkStart w:id="44" w:name="Xa0f39357801f03ceee2a77c034c466ad6652e7c"/>
    <w:p>
      <w:pPr>
        <w:pStyle w:val="Heading3"/>
      </w:pPr>
      <w:r>
        <w:t xml:space="preserve">4.4. Application of Land Sector and Removals (LSR) Standard (2026 Update)</w:t>
      </w:r>
    </w:p>
    <w:p>
      <w:pPr>
        <w:pStyle w:val="FirstParagraph"/>
      </w:pPr>
      <w:r>
        <w:t xml:space="preserve">The 2026 LSR Standard is integrated to account for emissions and removals associated with land use. As specific land use change data related to the production of krnwlegekz\'s materials (e.g., bio-based materials, deforestation for raw material extraction) are not provided, the current analysis assumes a net-zero impact from direct land use changes for this product. However, in a full assessment, this would involve:</w:t>
      </w:r>
    </w:p>
    <w:p>
      <w:pPr>
        <w:numPr>
          <w:ilvl w:val="0"/>
          <w:numId w:val="1017"/>
        </w:numPr>
        <w:pStyle w:val="Compact"/>
      </w:pPr>
      <w:r>
        <w:t xml:space="preserve">Quantifying GHG emissions from land use change (e.g., conversion of forests to agricultural land for raw materials).</w:t>
      </w:r>
    </w:p>
    <w:p>
      <w:pPr>
        <w:numPr>
          <w:ilvl w:val="0"/>
          <w:numId w:val="1017"/>
        </w:numPr>
        <w:pStyle w:val="Compact"/>
      </w:pPr>
      <w:r>
        <w:t xml:space="preserve">Accounting for biogenic carbon uptake and emissions (e.g., carbon stored in timber products, emissions from biomass combustion).</w:t>
      </w:r>
    </w:p>
    <w:p>
      <w:pPr>
        <w:numPr>
          <w:ilvl w:val="0"/>
          <w:numId w:val="1017"/>
        </w:numPr>
        <w:pStyle w:val="Compact"/>
      </w:pPr>
      <w:r>
        <w:t xml:space="preserve">Reporting carbon removals, if applicable, throughout the product lifecycle.</w:t>
      </w:r>
    </w:p>
    <w:p>
      <w:pPr>
        <w:pStyle w:val="FirstParagraph"/>
      </w:pPr>
      <w:r>
        <w:t xml:space="preserve">For krnwlegekz, the packaging cardboard could have an LSR component if its sourcing involved specific land use changes or if it acts as a carbon sink. Given the high-level data, we acknowledge the LSR update and confirm its application would require more granular data on the land use associated with specific material inputs.</w:t>
      </w:r>
    </w:p>
    <w:bookmarkEnd w:id="44"/>
    <w:bookmarkStart w:id="45" w:name="total-product-carbon-footprint"/>
    <w:p>
      <w:pPr>
        <w:pStyle w:val="Heading3"/>
      </w:pPr>
      <w:r>
        <w:t xml:space="preserve">4.5. Total Product Carbon Footprint</w:t>
      </w:r>
    </w:p>
    <w:p>
      <w:pPr>
        <w:pStyle w:val="FirstParagraph"/>
      </w:pPr>
      <w:r>
        <w:t xml:space="preserve">The sum of all calculated emissions across the lifecycle stages:</w:t>
      </w:r>
    </w:p>
    <w:p>
      <w:pPr>
        <w:numPr>
          <w:ilvl w:val="0"/>
          <w:numId w:val="1018"/>
        </w:numPr>
        <w:pStyle w:val="Compact"/>
      </w:pPr>
      <w:r>
        <w:t xml:space="preserve">Scope 1: 0.00 kg CO2e/unit</w:t>
      </w:r>
    </w:p>
    <w:p>
      <w:pPr>
        <w:numPr>
          <w:ilvl w:val="0"/>
          <w:numId w:val="1018"/>
        </w:numPr>
        <w:pStyle w:val="Compact"/>
      </w:pPr>
      <w:r>
        <w:t xml:space="preserve">Scope 2 (Production Energy): 2.17 kg CO2e/unit</w:t>
      </w:r>
    </w:p>
    <w:p>
      <w:pPr>
        <w:numPr>
          <w:ilvl w:val="0"/>
          <w:numId w:val="1018"/>
        </w:numPr>
        <w:pStyle w:val="Compact"/>
      </w:pPr>
      <w:r>
        <w:t xml:space="preserve">Scope 3 (Upstream Materials): 5.41 kg CO2e/unit</w:t>
      </w:r>
    </w:p>
    <w:p>
      <w:pPr>
        <w:numPr>
          <w:ilvl w:val="0"/>
          <w:numId w:val="1018"/>
        </w:numPr>
        <w:pStyle w:val="Compact"/>
      </w:pPr>
      <w:r>
        <w:t xml:space="preserve">Scope 3 (Upstream Transport): 0.12 kg CO2e/unit</w:t>
      </w:r>
    </w:p>
    <w:p>
      <w:pPr>
        <w:numPr>
          <w:ilvl w:val="0"/>
          <w:numId w:val="1018"/>
        </w:numPr>
        <w:pStyle w:val="Compact"/>
      </w:pPr>
      <w:r>
        <w:t xml:space="preserve">Scope 3 (Last-Mile Delivery): 12.47 kg CO2e/unit</w:t>
      </w:r>
    </w:p>
    <w:p>
      <w:pPr>
        <w:numPr>
          <w:ilvl w:val="0"/>
          <w:numId w:val="1018"/>
        </w:numPr>
        <w:pStyle w:val="Compact"/>
      </w:pPr>
      <w:r>
        <w:t xml:space="preserve">Scope 3 (Use Phase): 31.03 kg CO2e/unit</w:t>
      </w:r>
    </w:p>
    <w:p>
      <w:pPr>
        <w:numPr>
          <w:ilvl w:val="0"/>
          <w:numId w:val="1018"/>
        </w:numPr>
        <w:pStyle w:val="Compact"/>
      </w:pPr>
      <w:r>
        <w:t xml:space="preserve">Scope 3 (End-of-Life Credit): -3.68 kg CO2e/unit</w:t>
      </w:r>
    </w:p>
    <w:p>
      <w:pPr>
        <w:pStyle w:val="FirstParagraph"/>
      </w:pPr>
      <w:r>
        <w:rPr>
          <w:bCs/>
          <w:b/>
        </w:rPr>
        <w:t xml:space="preserve">Total PCF:</w:t>
      </w:r>
      <w:r>
        <w:t xml:space="preserve"> </w:t>
      </w:r>
      <w:r>
        <w:t xml:space="preserve">0.00 + 2.17 + 5.41 + 0.12 + 12.47 + 31.03 - 3.68 =</w:t>
      </w:r>
      <w:r>
        <w:t xml:space="preserve"> </w:t>
      </w:r>
      <w:r>
        <w:rPr>
          <w:bCs/>
          <w:b/>
        </w:rPr>
        <w:t xml:space="preserve">47.52 kg CO2e/unit</w:t>
      </w:r>
    </w:p>
    <w:p>
      <w:pPr>
        <w:pStyle w:val="BodyText"/>
      </w:pPr>
      <w:r>
        <w:rPr>
          <w:bCs/>
          <w:b/>
        </w:rPr>
        <w:t xml:space="preserve">Total Scope 3 Emissions:</w:t>
      </w:r>
      <w:r>
        <w:t xml:space="preserve"> </w:t>
      </w:r>
      <w:r>
        <w:t xml:space="preserve">5.41 + 0.12 + 12.47 + 31.03 - 3.68 = 45.35 kg CO2e/unit. This represents 95.4% of the total PCF, ensuring compliance with the &gt;95% Scope 3 coverage requirement.</w:t>
      </w:r>
    </w:p>
    <w:p>
      <w:r>
        <w:pict>
          <v:rect style="width:0;height:1.5pt" o:hralign="center" o:hrstd="t" o:hr="t"/>
        </w:pict>
      </w:r>
    </w:p>
    <w:bookmarkEnd w:id="45"/>
    <w:bookmarkEnd w:id="46"/>
    <w:bookmarkStart w:id="50" w:name="step-5-review-report"/>
    <w:p>
      <w:pPr>
        <w:pStyle w:val="Heading2"/>
      </w:pPr>
      <w:r>
        <w:t xml:space="preserve">5. Step 5: Review &amp; Report</w:t>
      </w:r>
    </w:p>
    <w:bookmarkStart w:id="47" w:name="emission-hotspots-identification"/>
    <w:p>
      <w:pPr>
        <w:pStyle w:val="Heading3"/>
      </w:pPr>
      <w:r>
        <w:t xml:space="preserve">5.1. Emission Hotspots Identification</w:t>
      </w:r>
    </w:p>
    <w:p>
      <w:pPr>
        <w:pStyle w:val="FirstParagraph"/>
      </w:pPr>
      <w:r>
        <w:t xml:space="preserve">Based on the calculations, the primary emission hotspots for krnwlegekz are:</w:t>
      </w:r>
    </w:p>
    <w:p>
      <w:pPr>
        <w:numPr>
          <w:ilvl w:val="0"/>
          <w:numId w:val="1019"/>
        </w:numPr>
        <w:pStyle w:val="Compact"/>
      </w:pPr>
      <w:r>
        <w:rPr>
          <w:bCs/>
          <w:b/>
        </w:rPr>
        <w:t xml:space="preserve">Use Phase (65.3%):</w:t>
      </w:r>
      <w:r>
        <w:t xml:space="preserve"> </w:t>
      </w:r>
      <w:r>
        <w:t xml:space="preserve">The most significant contributor, largely due to the assumed energy consumption over the product\'s 5-year lifespan. This highlights the importance of energy efficiency during product design.</w:t>
      </w:r>
    </w:p>
    <w:p>
      <w:pPr>
        <w:numPr>
          <w:ilvl w:val="0"/>
          <w:numId w:val="1019"/>
        </w:numPr>
        <w:pStyle w:val="Compact"/>
      </w:pPr>
      <w:r>
        <w:rPr>
          <w:bCs/>
          <w:b/>
        </w:rPr>
        <w:t xml:space="preserve">Last-Mile Delivery (26.2%):</w:t>
      </w:r>
      <w:r>
        <w:t xml:space="preserve"> </w:t>
      </w:r>
      <w:r>
        <w:t xml:space="preserve">Downstream transportation, specifically last-mile delivery, contributes substantially, indicating potential for optimization in logistics and delivery networks.</w:t>
      </w:r>
    </w:p>
    <w:p>
      <w:pPr>
        <w:numPr>
          <w:ilvl w:val="0"/>
          <w:numId w:val="1019"/>
        </w:numPr>
        <w:pStyle w:val="Compact"/>
      </w:pPr>
      <w:r>
        <w:rPr>
          <w:bCs/>
          <w:b/>
        </w:rPr>
        <w:t xml:space="preserve">Upstream Materials (11.4%):</w:t>
      </w:r>
      <w:r>
        <w:t xml:space="preserve"> </w:t>
      </w:r>
      <w:r>
        <w:t xml:space="preserve">Material acquisition and processing, especially for the Aluminum Casing, represent a notable portion of the footprint.</w:t>
      </w:r>
    </w:p>
    <w:bookmarkEnd w:id="47"/>
    <w:bookmarkStart w:id="48" w:name="reliability-and-limitations"/>
    <w:p>
      <w:pPr>
        <w:pStyle w:val="Heading3"/>
      </w:pPr>
      <w:r>
        <w:t xml:space="preserve">5.2. Reliability and Limitations</w:t>
      </w:r>
    </w:p>
    <w:p>
      <w:pPr>
        <w:pStyle w:val="FirstParagraph"/>
      </w:pPr>
      <w:r>
        <w:t xml:space="preserve">The reliability of this PCF analysis is influenced by the data sources and assumptions made:</w:t>
      </w:r>
    </w:p>
    <w:p>
      <w:pPr>
        <w:numPr>
          <w:ilvl w:val="0"/>
          <w:numId w:val="1020"/>
        </w:numPr>
        <w:pStyle w:val="Compact"/>
      </w:pPr>
      <w:r>
        <w:rPr>
          <w:bCs/>
          <w:b/>
        </w:rPr>
        <w:t xml:space="preserve">Primary Data:</w:t>
      </w:r>
      <w:r>
        <w:t xml:space="preserve"> </w:t>
      </w:r>
      <w:r>
        <w:t xml:space="preserve">The Detailed BOM provides a strong foundation for material impact calculation, enhancing accuracy.</w:t>
      </w:r>
    </w:p>
    <w:p>
      <w:pPr>
        <w:numPr>
          <w:ilvl w:val="0"/>
          <w:numId w:val="1020"/>
        </w:numPr>
        <w:pStyle w:val="Compact"/>
      </w:pPr>
      <w:r>
        <w:rPr>
          <w:bCs/>
          <w:b/>
        </w:rPr>
        <w:t xml:space="preserve">Secondary Data:</w:t>
      </w:r>
      <w:r>
        <w:t xml:space="preserve"> </w:t>
      </w:r>
      <w:r>
        <w:t xml:space="preserve">Industry-standard emission factors (e.g., from search results referencing DEFRA/Ecoinvent equivalent data) have been used for energy and transport, providing a generally accepted basis.</w:t>
      </w:r>
    </w:p>
    <w:p>
      <w:pPr>
        <w:numPr>
          <w:ilvl w:val="0"/>
          <w:numId w:val="1020"/>
        </w:numPr>
        <w:pStyle w:val="Compact"/>
      </w:pPr>
      <w:r>
        <w:rPr>
          <w:bCs/>
          <w:b/>
        </w:rPr>
        <w:t xml:space="preserve">Assumptions:</w:t>
      </w:r>
      <w:r>
        <w:t xml:space="preserve"> </w:t>
      </w:r>
      <w:r>
        <w:t xml:space="preserve">Specific parameters like transport distances, last-mile delivery details, use phase energy consumption, and EoL scenarios were provided and used directly. However, the exact real-world variance of these parameters could affect the final result.</w:t>
      </w:r>
    </w:p>
    <w:p>
      <w:pPr>
        <w:numPr>
          <w:ilvl w:val="0"/>
          <w:numId w:val="1020"/>
        </w:numPr>
        <w:pStyle w:val="Compact"/>
      </w:pPr>
      <w:r>
        <w:rPr>
          <w:bCs/>
          <w:b/>
        </w:rPr>
        <w:t xml:space="preserve">Geographic Specificity:</w:t>
      </w:r>
      <w:r>
        <w:t xml:space="preserve"> </w:t>
      </w:r>
      <w:r>
        <w:t xml:space="preserve">While China\'s grid mix is used for production energy, and European freight factors are used for the supply chain, global average factors are sometimes used for the use phase (if specific user country data is unavailable). More granular regional data for each stage would further refine the accuracy.</w:t>
      </w:r>
    </w:p>
    <w:p>
      <w:pPr>
        <w:numPr>
          <w:ilvl w:val="0"/>
          <w:numId w:val="1020"/>
        </w:numPr>
        <w:pStyle w:val="Compact"/>
      </w:pPr>
      <w:r>
        <w:rPr>
          <w:bCs/>
          <w:b/>
        </w:rPr>
        <w:t xml:space="preserve">LSR Standard:</w:t>
      </w:r>
      <w:r>
        <w:t xml:space="preserve"> </w:t>
      </w:r>
      <w:r>
        <w:t xml:space="preserve">The qualitative acknowledgment of the LSR standard highlights its importance but also the current limitation due to a lack of explicit land use data for krnwlegekz\'s material inputs.</w:t>
      </w:r>
    </w:p>
    <w:bookmarkEnd w:id="48"/>
    <w:bookmarkStart w:id="49" w:name="recommendations-for-improvement"/>
    <w:p>
      <w:pPr>
        <w:pStyle w:val="Heading3"/>
      </w:pPr>
      <w:r>
        <w:t xml:space="preserve">5.3. Recommendations for Improvement</w:t>
      </w:r>
    </w:p>
    <w:p>
      <w:pPr>
        <w:numPr>
          <w:ilvl w:val="0"/>
          <w:numId w:val="1021"/>
        </w:numPr>
        <w:pStyle w:val="Compact"/>
      </w:pPr>
      <w:r>
        <w:rPr>
          <w:bCs/>
          <w:b/>
        </w:rPr>
        <w:t xml:space="preserve">Optimize Use Phase Efficiency:</w:t>
      </w:r>
      <w:r>
        <w:t xml:space="preserve"> </w:t>
      </w:r>
      <w:r>
        <w:t xml:space="preserve">Focus on designing krnwlegekz for lower energy consumption during its operational lifespan. This could involve more energy-efficient components or power management features.</w:t>
      </w:r>
    </w:p>
    <w:p>
      <w:pPr>
        <w:numPr>
          <w:ilvl w:val="0"/>
          <w:numId w:val="1021"/>
        </w:numPr>
        <w:pStyle w:val="Compact"/>
      </w:pPr>
      <w:r>
        <w:rPr>
          <w:bCs/>
          <w:b/>
        </w:rPr>
        <w:t xml:space="preserve">Streamline Last-Mile Logistics:</w:t>
      </w:r>
      <w:r>
        <w:t xml:space="preserve"> </w:t>
      </w:r>
      <w:r>
        <w:t xml:space="preserve">Explore more efficient and lower-carbon last-mile delivery options, such as electric vehicles, consolidated deliveries, or localized distribution centers.</w:t>
      </w:r>
    </w:p>
    <w:p>
      <w:pPr>
        <w:numPr>
          <w:ilvl w:val="0"/>
          <w:numId w:val="1021"/>
        </w:numPr>
        <w:pStyle w:val="Compact"/>
      </w:pPr>
      <w:r>
        <w:rPr>
          <w:bCs/>
          <w:b/>
        </w:rPr>
        <w:t xml:space="preserve">Material Innovations:</w:t>
      </w:r>
      <w:r>
        <w:t xml:space="preserve"> </w:t>
      </w:r>
      <w:r>
        <w:t xml:space="preserve">Investigate alternative, lower-carbon materials for components like the Aluminum Casing and Plastic Enclosure, or increase the recycled content.</w:t>
      </w:r>
    </w:p>
    <w:p>
      <w:pPr>
        <w:numPr>
          <w:ilvl w:val="0"/>
          <w:numId w:val="1021"/>
        </w:numPr>
        <w:pStyle w:val="Compact"/>
      </w:pPr>
      <w:r>
        <w:rPr>
          <w:bCs/>
          <w:b/>
        </w:rPr>
        <w:t xml:space="preserve">Enhance Circularity:</w:t>
      </w:r>
      <w:r>
        <w:t xml:space="preserve"> </w:t>
      </w:r>
      <w:r>
        <w:t xml:space="preserve">Further develop and promote take-back and recycling programs to maximize material recovery and reduce virgin material demand.</w:t>
      </w:r>
    </w:p>
    <w:p>
      <w:r>
        <w:pict>
          <v:rect style="width:0;height:1.5pt" o:hralign="center" o:hrstd="t" o:hr="t"/>
        </w:pict>
      </w:r>
    </w:p>
    <w:p>
      <w:pPr>
        <w:pStyle w:val="FirstParagraph"/>
      </w:pPr>
      <w:r>
        <w:t xml:space="preserve">Confidential - Internal Use Only.</w:t>
      </w:r>
    </w:p>
    <w:p>
      <w:pPr>
        <w:pStyle w:val="BodyText"/>
      </w:pPr>
      <w:r>
        <w:t xml:space="preserve">Page 1 of X (Page numbering to be handled by print output)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krnwlegekz</dc:title>
  <dc:creator/>
  <dc:description>Detailed Product Carbon Footprint (PCF) analysis report for krnwlegekz, prepared by umvirmfxzv for qrjlelkopr, adhering to GHG Protocol standards and 2026 LSR Update.</dc:description>
  <dc:language>en</dc:language>
  <cp:keywords/>
  <dcterms:created xsi:type="dcterms:W3CDTF">2026-07-15T11:37:47Z</dcterms:created>
  <dcterms:modified xsi:type="dcterms:W3CDTF">2026-07-15T11:37:47Z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