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kpfdzqqjnr</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kpfdzqqjnr</w:t>
      </w:r>
    </w:p>
    <w:p>
      <w:pPr>
        <w:pStyle w:val="BodyText"/>
      </w:pPr>
      <w:r>
        <w:rPr>
          <w:bCs/>
          <w:b/>
        </w:rPr>
        <w:t xml:space="preserve">Company:</w:t>
      </w:r>
      <w:r>
        <w:t xml:space="preserve"> </w:t>
      </w:r>
      <w:r>
        <w:t xml:space="preserve">uimrngidxm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tlpnqjzwev</w:t>
      </w:r>
    </w:p>
    <w:p>
      <w:pPr>
        <w:pStyle w:val="BodyText"/>
      </w:pPr>
      <w:r>
        <w:rPr>
          <w:iCs/>
          <w:i/>
        </w:rPr>
        <w:t xml:space="preserve">This report is generated based on available data, industry standards, and specified parameters.</w:t>
      </w:r>
      <w:r>
        <w:rPr>
          <w:iCs/>
          <w:i/>
        </w:rPr>
        <w:t xml:space="preserve"> </w:t>
      </w:r>
      <w:r>
        <w:rPr>
          <w:iCs/>
          <w:i/>
        </w:rPr>
        <w:t xml:space="preserve">While every effort has been made to ensure accuracy, actual emissions may vary based on real-world conditions and data availability.</w:t>
      </w:r>
    </w:p>
    <w:bookmarkEnd w:id="20"/>
    <w:bookmarkStart w:id="5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`kpfdzqqjnr`, manufactured by `uimrngidxm`.</w:t>
      </w:r>
      <w:r>
        <w:t xml:space="preserve"> </w:t>
      </w:r>
      <w:r>
        <w:t xml:space="preserve">Conducted by Senior Sustainability Consultant `tlpnqjzwev` and adhering to the GHG Protocol, this analysis quantifies the greenhouse gas (GHG) emissions</w:t>
      </w:r>
      <w:r>
        <w:t xml:space="preserve"> </w:t>
      </w:r>
      <w:r>
        <w:t xml:space="preserve">associated with the product\'s lifecycle from a cradle-to-gate perspective, extended with key Scope 3 elements (Use Phase and End-of-Life) for comprehensive</w:t>
      </w:r>
      <w:r>
        <w:t xml:space="preserve"> </w:t>
      </w:r>
      <w:r>
        <w:t xml:space="preserve">value chain reporting. The 2026 Land Sector and Removals (LSR) Standard update has been considered in the methodology,</w:t>
      </w:r>
      <w:r>
        <w:t xml:space="preserve"> </w:t>
      </w:r>
      <w:r>
        <w:t xml:space="preserve">and Scope 3 coverage aims for at least 95% compliance as per current requirements.</w:t>
      </w:r>
      <w:r>
        <w:t xml:space="preserve"> </w:t>
      </w:r>
      <w:r>
        <w:t xml:space="preserve">The analysis identifies key emission hotspots across material acquisition, production, transportation, use, and end-of-life, providing a foundational understanding</w:t>
      </w:r>
      <w:r>
        <w:t xml:space="preserve"> </w:t>
      </w:r>
      <w:r>
        <w:t xml:space="preserve">for `uimrngidxm` to develop targeted decarbonization strategies.</w:t>
      </w:r>
    </w:p>
    <w:p>
      <w:r>
        <w:pict>
          <v:rect style="width:0;height:1.5pt" o:hralign="center" o:hrstd="t" o:hr="t"/>
        </w:pict>
      </w:r>
    </w:p>
    <w:bookmarkEnd w:id="21"/>
    <w:bookmarkStart w:id="29"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kpfdzqqjnr</w:t>
      </w:r>
      <w:r>
        <w:t xml:space="preserve">.</w:t>
      </w:r>
    </w:p>
    <w:bookmarkEnd w:id="22"/>
    <w:bookmarkStart w:id="23" w:name="system-boundaries"/>
    <w:p>
      <w:pPr>
        <w:pStyle w:val="Heading3"/>
      </w:pPr>
      <w:r>
        <w:t xml:space="preserve">1.2 System Boundaries</w:t>
      </w:r>
    </w:p>
    <w:p>
      <w:pPr>
        <w:pStyle w:val="FirstParagraph"/>
      </w:pPr>
      <w:r>
        <w:t xml:space="preserve">The primary system boundary for the core product manufacturing is defined as</w:t>
      </w:r>
      <w:r>
        <w:t xml:space="preserve"> </w:t>
      </w:r>
      <w:r>
        <w:rPr>
          <w:bCs/>
          <w:b/>
        </w:rPr>
        <w:t xml:space="preserve">factory_gate</w:t>
      </w:r>
      <w:r>
        <w:t xml:space="preserve"> </w:t>
      </w:r>
      <w:r>
        <w:t xml:space="preserve">(cradle-to-gate).</w:t>
      </w:r>
      <w:r>
        <w:t xml:space="preserve"> </w:t>
      </w:r>
      <w:r>
        <w:t xml:space="preserve">This includes all upstream processes related to material extraction, processing, and manufacturing, as well as the production energy consumed up to the point the product leaves the factory gate.</w:t>
      </w:r>
      <w:r>
        <w:t xml:space="preserve"> </w:t>
      </w:r>
      <w:r>
        <w:t xml:space="preserve">For comprehensive GHG Protocol compliance and to meet the 95% Scope 3 coverage requirement, the analysis has been extended to include significant downstream activities, specifically the Use Phase and End-of-Life (EoL) scenarios. These extended phases are categorized as Scope 3 emissions.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primary transportation routes originating from Europe to China for production).</w:t>
      </w:r>
    </w:p>
    <w:bookmarkEnd w:id="24"/>
    <w:bookmarkStart w:id="25" w:name="allocation"/>
    <w:p>
      <w:pPr>
        <w:pStyle w:val="Heading3"/>
      </w:pPr>
      <w:r>
        <w:t xml:space="preserve">1.4 Allocation</w:t>
      </w:r>
    </w:p>
    <w:p>
      <w:pPr>
        <w:pStyle w:val="FirstParagraph"/>
      </w:pPr>
      <w:r>
        <w:t xml:space="preserve">Emissions are allocated to the functional unit based on mass where appropriate for materials and transportation. For energy consumption, direct allocation per unit produced is applied.</w:t>
      </w:r>
    </w:p>
    <w:bookmarkEnd w:id="25"/>
    <w:bookmarkStart w:id="26" w:name="accounting-standard"/>
    <w:p>
      <w:pPr>
        <w:pStyle w:val="Heading3"/>
      </w:pPr>
      <w:r>
        <w:t xml:space="preserve">1.5 Accounting Standard</w:t>
      </w:r>
    </w:p>
    <w:p>
      <w:pPr>
        <w:pStyle w:val="FirstParagraph"/>
      </w:pPr>
      <w:r>
        <w:t xml:space="preserve">This Product Carbon Footprint analysis is performed in strict adherence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r>
        <w:t xml:space="preserve"> </w:t>
      </w:r>
      <w:r>
        <w:t xml:space="preserve">Emissions are categorized into Scope 1 (Direct GHG Emissions), Scope 2 (Energy Indirect GHG Emissions from purchased electricity, heat, or steam), and Scope 3 (Other Indirect GHG Emissions occurring from upstream and downstream activities in the value chain).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new Land Sector and Removals (LSR) Standard, released on January 30, 2026, and taking effect on January 1, 2027, has been considered in this analysis.</w:t>
      </w:r>
      <w:r>
        <w:t xml:space="preserve"> </w:t>
      </w:r>
      <w:r>
        <w:t xml:space="preserve">The LSR Standard provides requirements for accounting for land sector emissions (e.g., land use change, land management, biogenic products) and CO2 removals, complementing the Corporate and Scope 3 Standards.</w:t>
      </w:r>
      <w:r>
        <w:t xml:space="preserve"> </w:t>
      </w:r>
      <w:r>
        <w:t xml:space="preserve">While `kpfdzqqjnr` is a manufactured product and may not have direct land-use change impacts within its production, the principles of the LSR Standard are critical for transparency and future-proofing, especially if the product\'s value chain includes biogenic materials or if `uimrngidxm` engages in carbon removal initiatives. The accompanying guidance, expected in Q2 2026, will provide further detailed implementation instructions.</w:t>
      </w:r>
    </w:p>
    <w:bookmarkEnd w:id="27"/>
    <w:bookmarkStart w:id="28" w:name="scope-3-compliance"/>
    <w:p>
      <w:pPr>
        <w:pStyle w:val="Heading3"/>
      </w:pPr>
      <w:r>
        <w:t xml:space="preserve">1.7 Scope 3 Compliance</w:t>
      </w:r>
    </w:p>
    <w:p>
      <w:pPr>
        <w:pStyle w:val="FirstParagraph"/>
      </w:pPr>
      <w:r>
        <w:t xml:space="preserve">To ensure robust reporting as per 2026 requirements, efforts have been made to achieve at least 95% coverage for Scope 3 emissions, by incorporating significant upstream (materials, transport) and downstream (use phase, end-of-life) activities.</w:t>
      </w:r>
    </w:p>
    <w:p>
      <w:r>
        <w:pict>
          <v:rect style="width:0;height:1.5pt" o:hralign="center" o:hrstd="t" o:hr="t"/>
        </w:pict>
      </w:r>
    </w:p>
    <w:bookmarkEnd w:id="28"/>
    <w:bookmarkEnd w:id="29"/>
    <w:bookmarkStart w:id="36" w:name="X07cf0ea829f60a4f8fa47c00f72a11793fbe483"/>
    <w:p>
      <w:pPr>
        <w:pStyle w:val="Heading2"/>
      </w:pPr>
      <w:r>
        <w:t xml:space="preserve">2. Lifecycle Mapping (LCI Inventory Stages) &amp; 3. Data Collection</w:t>
      </w:r>
    </w:p>
    <w:bookmarkStart w:id="31" w:name="X83a21ca7421e13c1ead359152298346894b0ec0"/>
    <w:p>
      <w:pPr>
        <w:pStyle w:val="Heading3"/>
      </w:pPr>
      <w:r>
        <w:t xml:space="preserve">2.1 Bill of Materials (BOM) - Material Acquisition and Processing (Scope 3, Category 1)</w:t>
      </w:r>
    </w:p>
    <w:p>
      <w:pPr>
        <w:pStyle w:val="FirstParagraph"/>
      </w:pPr>
      <w:r>
        <w:t xml:space="preserve">The Detailed Bill of Materials (`odtlnexv`) provides a high-accuracy basis for material impact calculation. The "Total Carbon" value provided for each item in the BOM is directly used as its embedded carbon footprint.</w:t>
      </w:r>
    </w:p>
    <w:bookmarkStart w:id="30" w:name="detailed-bill-of-materials-bom-data"/>
    <w:p>
      <w:pPr>
        <w:pStyle w:val="Heading4"/>
      </w:pPr>
      <w:r>
        <w:t xml:space="preserve">Detailed Bill of Materials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w:t>
            </w:r>
          </w:p>
        </w:tc>
        <w:tc>
          <w:tcPr/>
          <w:p>
            <w:pPr>
              <w:pStyle w:val="Compact"/>
              <w:jc w:val="left"/>
            </w:pPr>
            <w:r>
              <w:t xml:space="preserve">0.54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pPr>
          </w:p>
        </w:tc>
        <w:tc>
          <w:tcPr>
            <w:gridSpan w:val="6"/>
          </w:tcPr>
          <w:p>
            <w:pPr>
              <w:pStyle w:val="Compact"/>
              <w:jc w:val="left"/>
            </w:pPr>
            <w:r>
              <w:rPr>
                <w:bCs/>
                <w:b/>
              </w:rPr>
              <w:t xml:space="preserve">Total Material Carbon Footprint</w:t>
            </w:r>
          </w:p>
        </w:tc>
        <w:tc>
          <w:tcPr/>
          <w:p>
            <w:pPr>
              <w:pStyle w:val="Compact"/>
              <w:jc w:val="left"/>
            </w:pPr>
            <w:r>
              <w:rPr>
                <w:bCs/>
                <w:b/>
              </w:rPr>
              <w:t xml:space="preserve">3.45</w:t>
            </w:r>
          </w:p>
        </w:tc>
      </w:tr>
    </w:tbl>
    <w:bookmarkEnd w:id="30"/>
    <w:bookmarkEnd w:id="31"/>
    <w:bookmarkStart w:id="32" w:name="X69511d23b5a64e8bf2d48dd2e6b7613391538bd"/>
    <w:p>
      <w:pPr>
        <w:pStyle w:val="Heading3"/>
      </w:pPr>
      <w:r>
        <w:t xml:space="preserve">2.2 Production Phase - Energy Inputs (Scope 1 &amp; 2)</w:t>
      </w:r>
    </w:p>
    <w:p>
      <w:pPr>
        <w:pStyle w:val="FirstParagraph"/>
      </w:pPr>
      <w:r>
        <w:t xml:space="preserve">The energy consumed during the production of `kpfdzqqjnr` at the factory is a significant contributor to its footprint.</w:t>
      </w:r>
    </w:p>
    <w:p>
      <w:pPr>
        <w:numPr>
          <w:ilvl w:val="0"/>
          <w:numId w:val="1002"/>
        </w:numPr>
        <w:pStyle w:val="Compact"/>
      </w:pPr>
      <w:r>
        <w:rPr>
          <w:bCs/>
          <w:b/>
        </w:rPr>
        <w:t xml:space="preserve">Energy Intensity (kWh/unit):</w:t>
      </w:r>
      <w:r>
        <w:t xml:space="preserve"> </w:t>
      </w:r>
      <w:r>
        <w:t xml:space="preserve">`mutjqzlqhh` (Assumed: 10 kWh/unit for calculation purposes)</w:t>
      </w:r>
    </w:p>
    <w:p>
      <w:pPr>
        <w:numPr>
          <w:ilvl w:val="0"/>
          <w:numId w:val="1002"/>
        </w:numPr>
        <w:pStyle w:val="Compact"/>
      </w:pPr>
      <w:r>
        <w:rPr>
          <w:bCs/>
          <w:b/>
        </w:rPr>
        <w:t xml:space="preserve">Renewable Energy Usage:</w:t>
      </w:r>
      <w:r>
        <w:t xml:space="preserve"> </w:t>
      </w:r>
      <w:r>
        <w:t xml:space="preserve">`myopnzogzq` (Assumed: 30% of total electricity consumed is from renewable sources for calculation purposes)</w:t>
      </w:r>
    </w:p>
    <w:p>
      <w:pPr>
        <w:numPr>
          <w:ilvl w:val="0"/>
          <w:numId w:val="1002"/>
        </w:numPr>
        <w:pStyle w:val="Compact"/>
      </w:pPr>
      <w:r>
        <w:rPr>
          <w:bCs/>
          <w:b/>
        </w:rPr>
        <w:t xml:space="preserve">Geographic Scope:</w:t>
      </w:r>
      <w:r>
        <w:t xml:space="preserve"> </w:t>
      </w:r>
      <w:r>
        <w:t xml:space="preserve">China (for grid electricity mix)</w:t>
      </w:r>
    </w:p>
    <w:p>
      <w:pPr>
        <w:numPr>
          <w:ilvl w:val="0"/>
          <w:numId w:val="1002"/>
        </w:numPr>
        <w:pStyle w:val="Compact"/>
      </w:pPr>
      <w:r>
        <w:rPr>
          <w:bCs/>
          <w:b/>
        </w:rPr>
        <w:t xml:space="preserve">Emission Factor for China Grid Electricity:</w:t>
      </w:r>
      <w:r>
        <w:t xml:space="preserve"> </w:t>
      </w:r>
      <w:r>
        <w:t xml:space="preserve">Approximately 0.58 kg CO2e/kWh (average for China, based on MEE, IEA, and other sources)</w:t>
      </w:r>
    </w:p>
    <w:bookmarkEnd w:id="32"/>
    <w:bookmarkStart w:id="33" w:name="Xbe05fabfd1e71e3b3ec8f05df52261c51350ab5"/>
    <w:p>
      <w:pPr>
        <w:pStyle w:val="Heading3"/>
      </w:pPr>
      <w:r>
        <w:t xml:space="preserve">2.3 Transportation - Upstream and Downstream Logistics (Scope 3, Categories 4 &amp; 9)</w:t>
      </w:r>
    </w:p>
    <w:p>
      <w:pPr>
        <w:pStyle w:val="FirstParagraph"/>
      </w:pPr>
      <w:r>
        <w:t xml:space="preserve">Logistics from material sourcing to final product delivery contribute to the product\'s footprint.</w:t>
      </w:r>
    </w:p>
    <w:p>
      <w:pPr>
        <w:numPr>
          <w:ilvl w:val="0"/>
          <w:numId w:val="1003"/>
        </w:numPr>
        <w:pStyle w:val="Compact"/>
      </w:pPr>
      <w:r>
        <w:rPr>
          <w:bCs/>
          <w:b/>
        </w:rPr>
        <w:t xml:space="preserve">Product Weight (Approximate):</w:t>
      </w:r>
      <w:r>
        <w:t xml:space="preserve"> </w:t>
      </w:r>
      <w:r>
        <w:t xml:space="preserve">1.02 kg (Sum of quantities from BOM for 1 unit)</w:t>
      </w:r>
    </w:p>
    <w:p>
      <w:pPr>
        <w:numPr>
          <w:ilvl w:val="0"/>
          <w:numId w:val="1003"/>
        </w:numPr>
        <w:pStyle w:val="Compact"/>
      </w:pPr>
      <w:r>
        <w:rPr>
          <w:bCs/>
          <w:b/>
        </w:rPr>
        <w:t xml:space="preserve">Primary Transport Mode (`Select Mode`):</w:t>
      </w:r>
      <w:r>
        <w:t xml:space="preserve"> </w:t>
      </w:r>
      <w:r>
        <w:t xml:space="preserve">Road Freight (Heavy Duty Truck, assumed for Europe-China supply chain)</w:t>
      </w:r>
    </w:p>
    <w:p>
      <w:pPr>
        <w:numPr>
          <w:ilvl w:val="0"/>
          <w:numId w:val="1003"/>
        </w:numPr>
        <w:pStyle w:val="Compact"/>
      </w:pPr>
      <w:r>
        <w:rPr>
          <w:bCs/>
          <w:b/>
        </w:rPr>
        <w:t xml:space="preserve">Primary Transport Distance (`qkqfiozguz`):</w:t>
      </w:r>
      <w:r>
        <w:t xml:space="preserve"> </w:t>
      </w:r>
      <w:r>
        <w:t xml:space="preserve">Assumed 5000 km (representative for Europe-China supply chain)</w:t>
      </w:r>
    </w:p>
    <w:p>
      <w:pPr>
        <w:numPr>
          <w:ilvl w:val="0"/>
          <w:numId w:val="1003"/>
        </w:numPr>
        <w:pStyle w:val="Compact"/>
      </w:pPr>
      <w:r>
        <w:rPr>
          <w:bCs/>
          <w:b/>
        </w:rPr>
        <w:t xml:space="preserve">Primary Transport Emission Factor (Heavy Duty Truck):</w:t>
      </w:r>
      <w:r>
        <w:t xml:space="preserve"> </w:t>
      </w:r>
      <w:r>
        <w:t xml:space="preserve">Assumed 0.08 kg CO2e/tonne-km (average for long-haul road freight)</w:t>
      </w:r>
    </w:p>
    <w:p>
      <w:pPr>
        <w:numPr>
          <w:ilvl w:val="0"/>
          <w:numId w:val="1003"/>
        </w:numPr>
        <w:pStyle w:val="Compact"/>
      </w:pPr>
      <w:r>
        <w:rPr>
          <w:bCs/>
          <w:b/>
        </w:rPr>
        <w:t xml:space="preserve">Last-Mile Delivery Channel (`Delivery Type`):</w:t>
      </w:r>
      <w:r>
        <w:t xml:space="preserve"> </w:t>
      </w:r>
      <w:r>
        <w:t xml:space="preserve">Light Commercial Vehicle (LCV, assumed for urban/regional delivery)</w:t>
      </w:r>
    </w:p>
    <w:p>
      <w:pPr>
        <w:numPr>
          <w:ilvl w:val="0"/>
          <w:numId w:val="1003"/>
        </w:numPr>
        <w:pStyle w:val="Compact"/>
      </w:pPr>
      <w:r>
        <w:rPr>
          <w:bCs/>
          <w:b/>
        </w:rPr>
        <w:t xml:space="preserve">Last-Mile Delivery Distance:</w:t>
      </w:r>
      <w:r>
        <w:t xml:space="preserve"> </w:t>
      </w:r>
      <w:r>
        <w:t xml:space="preserve">Assumed 50 km (typical for local delivery)</w:t>
      </w:r>
    </w:p>
    <w:p>
      <w:pPr>
        <w:numPr>
          <w:ilvl w:val="0"/>
          <w:numId w:val="1003"/>
        </w:numPr>
        <w:pStyle w:val="Compact"/>
      </w:pPr>
      <w:r>
        <w:rPr>
          <w:bCs/>
          <w:b/>
        </w:rPr>
        <w:t xml:space="preserve">Last-Mile Delivery Emission Factor (LCV):</w:t>
      </w:r>
      <w:r>
        <w:t xml:space="preserve"> </w:t>
      </w:r>
      <w:r>
        <w:t xml:space="preserve">Assumed 0.15 kg CO2e/km (per vehicle-km, allocated by product weight)</w:t>
      </w:r>
    </w:p>
    <w:bookmarkEnd w:id="33"/>
    <w:bookmarkStart w:id="34" w:name="use-phase-scope-3-category-11"/>
    <w:p>
      <w:pPr>
        <w:pStyle w:val="Heading3"/>
      </w:pPr>
      <w:r>
        <w:t xml:space="preserve">2.4 Use Phase (Scope 3, Category 11)</w:t>
      </w:r>
    </w:p>
    <w:p>
      <w:pPr>
        <w:pStyle w:val="FirstParagraph"/>
      </w:pPr>
      <w:r>
        <w:t xml:space="preserve">The energy consumption during the product\'s lifespan is a critical component of its lifecycle impact.</w:t>
      </w:r>
    </w:p>
    <w:p>
      <w:pPr>
        <w:numPr>
          <w:ilvl w:val="0"/>
          <w:numId w:val="1004"/>
        </w:numPr>
        <w:pStyle w:val="Compact"/>
      </w:pPr>
      <w:r>
        <w:rPr>
          <w:bCs/>
          <w:b/>
        </w:rPr>
        <w:t xml:space="preserve">Product Lifespan (`nvevqiggue`):</w:t>
      </w:r>
      <w:r>
        <w:t xml:space="preserve"> </w:t>
      </w:r>
      <w:r>
        <w:t xml:space="preserve">Assumed 5 years</w:t>
      </w:r>
    </w:p>
    <w:p>
      <w:pPr>
        <w:numPr>
          <w:ilvl w:val="0"/>
          <w:numId w:val="1004"/>
        </w:numPr>
        <w:pStyle w:val="Compact"/>
      </w:pPr>
      <w:r>
        <w:rPr>
          <w:bCs/>
          <w:b/>
        </w:rPr>
        <w:t xml:space="preserve">Energy Consumption in Use (`vkskkpfrxt`):</w:t>
      </w:r>
      <w:r>
        <w:t xml:space="preserve"> </w:t>
      </w:r>
      <w:r>
        <w:t xml:space="preserve">Assumed 5 kWh/year</w:t>
      </w:r>
    </w:p>
    <w:p>
      <w:pPr>
        <w:numPr>
          <w:ilvl w:val="0"/>
          <w:numId w:val="1004"/>
        </w:numPr>
        <w:pStyle w:val="Compact"/>
      </w:pPr>
      <w:r>
        <w:rPr>
          <w:bCs/>
          <w:b/>
        </w:rPr>
        <w:t xml:space="preserve">Electricity Source:</w:t>
      </w:r>
      <w:r>
        <w:t xml:space="preserve"> </w:t>
      </w:r>
      <w:r>
        <w:t xml:space="preserve">Assumed China grid mix (0.58 kg CO2e/kWh)</w:t>
      </w:r>
    </w:p>
    <w:bookmarkEnd w:id="34"/>
    <w:bookmarkStart w:id="35" w:name="X3261202975bfccb1283f2bd5fabef2dfdbe9c90"/>
    <w:p>
      <w:pPr>
        <w:pStyle w:val="Heading3"/>
      </w:pPr>
      <w:r>
        <w:t xml:space="preserve">2.5 End-of-Life (EoL) Scenarios (Scope 3, Category 12)</w:t>
      </w:r>
    </w:p>
    <w:p>
      <w:pPr>
        <w:pStyle w:val="FirstParagraph"/>
      </w:pPr>
      <w:r>
        <w:t xml:space="preserve">The end-of-life treatment of `kpfdzqqjnr` incorporates circular economy impacts.</w:t>
      </w:r>
    </w:p>
    <w:p>
      <w:pPr>
        <w:numPr>
          <w:ilvl w:val="0"/>
          <w:numId w:val="1005"/>
        </w:numPr>
        <w:pStyle w:val="Compact"/>
      </w:pPr>
      <w:r>
        <w:rPr>
          <w:bCs/>
          <w:b/>
        </w:rPr>
        <w:t xml:space="preserve">Recyclability Percentage (`ijpjsontex`):</w:t>
      </w:r>
      <w:r>
        <w:t xml:space="preserve"> </w:t>
      </w:r>
      <w:r>
        <w:t xml:space="preserve">Assumed 70%</w:t>
      </w:r>
    </w:p>
    <w:p>
      <w:pPr>
        <w:numPr>
          <w:ilvl w:val="0"/>
          <w:numId w:val="1005"/>
        </w:numPr>
        <w:pStyle w:val="Compact"/>
      </w:pPr>
      <w:r>
        <w:rPr>
          <w:bCs/>
          <w:b/>
        </w:rPr>
        <w:t xml:space="preserve">Circular/Take-back Programs (`ewrktdjkgn`):</w:t>
      </w:r>
      <w:r>
        <w:t xml:space="preserve"> </w:t>
      </w:r>
      <w:r>
        <w:t xml:space="preserve">Acknowledged as existent, indicating efforts to manage end-of-life responsibly. For calculation, a credit is applied for recycled material against virgin production.</w:t>
      </w:r>
    </w:p>
    <w:p>
      <w:pPr>
        <w:numPr>
          <w:ilvl w:val="0"/>
          <w:numId w:val="1005"/>
        </w:numPr>
        <w:pStyle w:val="Compact"/>
      </w:pPr>
      <w:r>
        <w:rPr>
          <w:bCs/>
          <w:b/>
        </w:rPr>
        <w:t xml:space="preserve">Disposal/Recycling Emission Factors:</w:t>
      </w:r>
      <w:r>
        <w:t xml:space="preserve"> </w:t>
      </w:r>
      <w:r>
        <w:t xml:space="preserve">Assumed based on general industry averages for avoided emissions from recycling and emissions from disposal.</w:t>
      </w:r>
    </w:p>
    <w:p>
      <w:r>
        <w:pict>
          <v:rect style="width:0;height:1.5pt" o:hralign="center" o:hrstd="t" o:hr="t"/>
        </w:pict>
      </w:r>
    </w:p>
    <w:bookmarkEnd w:id="35"/>
    <w:bookmarkEnd w:id="36"/>
    <w:bookmarkStart w:id="45" w:name="X439a6e6dcb43c636bf515ffaf3f59bce0bd6490"/>
    <w:p>
      <w:pPr>
        <w:pStyle w:val="Heading2"/>
      </w:pPr>
      <w:r>
        <w:t xml:space="preserve">4. Emission Calculation (Activity * Emission Factor = CO2e)</w:t>
      </w:r>
    </w:p>
    <w:p>
      <w:pPr>
        <w:pStyle w:val="FirstParagraph"/>
      </w:pPr>
      <w:r>
        <w:t xml:space="preserve">Emissions are calculated using the gathered data and industry-standard emission factors. The calculation methodology categorizes emissions according to the GHG Protocol.</w:t>
      </w:r>
    </w:p>
    <w:bookmarkStart w:id="37" w:name="X8a66994489abce49e08b25a3b9f3cb36eff8e45"/>
    <w:p>
      <w:pPr>
        <w:pStyle w:val="Heading3"/>
      </w:pPr>
      <w:r>
        <w:t xml:space="preserve">4.1 Material Acquisition and Processing (Scope 3, Category 1: Purchased Goods and Services)</w:t>
      </w:r>
    </w:p>
    <w:p>
      <w:pPr>
        <w:pStyle w:val="FirstParagraph"/>
      </w:pPr>
      <w:r>
        <w:t xml:space="preserve">The total carbon footprint for materials is directly taken from the provided "Total Carbon" column in the BOM.</w:t>
      </w:r>
    </w:p>
    <w:p>
      <w:pPr>
        <w:pStyle w:val="BodyText"/>
      </w:pPr>
      <w:r>
        <w:rPr>
          <w:bCs/>
          <w:b/>
        </w:rPr>
        <w:t xml:space="preserve">Total Material Emissions:</w:t>
      </w:r>
      <w:r>
        <w:t xml:space="preserve"> </w:t>
      </w:r>
      <w:r>
        <w:t xml:space="preserve">3.45 kg CO2e</w:t>
      </w:r>
    </w:p>
    <w:bookmarkEnd w:id="37"/>
    <w:bookmarkStart w:id="38" w:name="Xbccd685fa326a5a6df4e47a5891aca21cdd8f96"/>
    <w:p>
      <w:pPr>
        <w:pStyle w:val="Heading3"/>
      </w:pPr>
      <w:r>
        <w:t xml:space="preserve">4.2 Production Phase (Scope 2: Purchased Electricity)</w:t>
      </w:r>
    </w:p>
    <w:p>
      <w:pPr>
        <w:numPr>
          <w:ilvl w:val="0"/>
          <w:numId w:val="1006"/>
        </w:numPr>
        <w:pStyle w:val="Compact"/>
      </w:pPr>
      <w:r>
        <w:t xml:space="preserve">Total Energy Consumption: 10 kWh/unit</w:t>
      </w:r>
    </w:p>
    <w:p>
      <w:pPr>
        <w:numPr>
          <w:ilvl w:val="0"/>
          <w:numId w:val="1006"/>
        </w:numPr>
        <w:pStyle w:val="Compact"/>
      </w:pPr>
      <w:r>
        <w:t xml:space="preserve">Non-renewable energy portion (from grid): 10 kWh * (1 - 0.30) = 7 kWh</w:t>
      </w:r>
    </w:p>
    <w:p>
      <w:pPr>
        <w:numPr>
          <w:ilvl w:val="0"/>
          <w:numId w:val="1006"/>
        </w:numPr>
        <w:pStyle w:val="Compact"/>
      </w:pPr>
      <w:r>
        <w:t xml:space="preserve">Renewable energy portion: 10 kWh * 0.30 = 3 kWh (assumed zero direct operational emissions for certified renewable electricity)</w:t>
      </w:r>
    </w:p>
    <w:p>
      <w:pPr>
        <w:numPr>
          <w:ilvl w:val="0"/>
          <w:numId w:val="1006"/>
        </w:numPr>
        <w:pStyle w:val="Compact"/>
      </w:pPr>
      <w:r>
        <w:t xml:space="preserve">Emissions from Non-Renewable Electricity: 7 kWh * 0.58 kg CO2e/kWh = 4.06 kg CO2e</w:t>
      </w:r>
    </w:p>
    <w:p>
      <w:pPr>
        <w:pStyle w:val="FirstParagraph"/>
      </w:pPr>
      <w:r>
        <w:rPr>
          <w:bCs/>
          <w:b/>
        </w:rPr>
        <w:t xml:space="preserve">Total Production Energy Emissions (Scope 2):</w:t>
      </w:r>
      <w:r>
        <w:t xml:space="preserve"> </w:t>
      </w:r>
      <w:r>
        <w:t xml:space="preserve">4.06 kg CO2e</w:t>
      </w:r>
    </w:p>
    <w:bookmarkEnd w:id="38"/>
    <w:bookmarkStart w:id="41" w:name="Xe8e38d1cca358f39a6904698bf3fbe4bea0fb7f"/>
    <w:p>
      <w:pPr>
        <w:pStyle w:val="Heading3"/>
      </w:pPr>
      <w:r>
        <w:t xml:space="preserve">4.3 Transportation (Scope 3, Category 4: Upstream Transportation &amp; Distribution, Category 9: Downstream Transportation &amp; Distribution)</w:t>
      </w:r>
    </w:p>
    <w:bookmarkStart w:id="39" w:name="primary-transportation-europe-to-china"/>
    <w:p>
      <w:pPr>
        <w:pStyle w:val="Heading4"/>
      </w:pPr>
      <w:r>
        <w:t xml:space="preserve">Primary Transportation (Europe to China)</w:t>
      </w:r>
    </w:p>
    <w:p>
      <w:pPr>
        <w:numPr>
          <w:ilvl w:val="0"/>
          <w:numId w:val="1007"/>
        </w:numPr>
        <w:pStyle w:val="Compact"/>
      </w:pPr>
      <w:r>
        <w:t xml:space="preserve">Product Weight: 1.02 kg = 0.00102 tonne</w:t>
      </w:r>
    </w:p>
    <w:p>
      <w:pPr>
        <w:numPr>
          <w:ilvl w:val="0"/>
          <w:numId w:val="1007"/>
        </w:numPr>
        <w:pStyle w:val="Compact"/>
      </w:pPr>
      <w:r>
        <w:t xml:space="preserve">Distance: 5000 km</w:t>
      </w:r>
    </w:p>
    <w:p>
      <w:pPr>
        <w:numPr>
          <w:ilvl w:val="0"/>
          <w:numId w:val="1007"/>
        </w:numPr>
        <w:pStyle w:val="Compact"/>
      </w:pPr>
      <w:r>
        <w:t xml:space="preserve">Emission Factor: 0.08 kg CO2e/tonne-km</w:t>
      </w:r>
    </w:p>
    <w:p>
      <w:pPr>
        <w:numPr>
          <w:ilvl w:val="0"/>
          <w:numId w:val="1007"/>
        </w:numPr>
        <w:pStyle w:val="Compact"/>
      </w:pPr>
      <w:r>
        <w:t xml:space="preserve">Calculation: 0.00102 tonne * 5000 km * 0.08 kg CO2e/tonne-km = 0.408 kg CO2e</w:t>
      </w:r>
    </w:p>
    <w:bookmarkEnd w:id="39"/>
    <w:bookmarkStart w:id="40" w:name="last-mile-delivery"/>
    <w:p>
      <w:pPr>
        <w:pStyle w:val="Heading4"/>
      </w:pPr>
      <w:r>
        <w:t xml:space="preserve">Last-Mile Delivery</w:t>
      </w:r>
    </w:p>
    <w:p>
      <w:pPr>
        <w:numPr>
          <w:ilvl w:val="0"/>
          <w:numId w:val="1008"/>
        </w:numPr>
        <w:pStyle w:val="Compact"/>
      </w:pPr>
      <w:r>
        <w:t xml:space="preserve">Product Weight: 1.02 kg = 0.00102 tonne</w:t>
      </w:r>
    </w:p>
    <w:p>
      <w:pPr>
        <w:numPr>
          <w:ilvl w:val="0"/>
          <w:numId w:val="1008"/>
        </w:numPr>
        <w:pStyle w:val="Compact"/>
      </w:pPr>
      <w:r>
        <w:t xml:space="preserve">Distance: 50 km</w:t>
      </w:r>
    </w:p>
    <w:p>
      <w:pPr>
        <w:numPr>
          <w:ilvl w:val="0"/>
          <w:numId w:val="1008"/>
        </w:numPr>
        <w:pStyle w:val="Compact"/>
      </w:pPr>
      <w:r>
        <w:t xml:space="preserve">Assumed LCV Allocation Factor: 0.15 kg CO2e/tonne-km (derived from LCV emissions per km assuming a 1-tonne capacity)</w:t>
      </w:r>
    </w:p>
    <w:p>
      <w:pPr>
        <w:numPr>
          <w:ilvl w:val="0"/>
          <w:numId w:val="1008"/>
        </w:numPr>
        <w:pStyle w:val="Compact"/>
      </w:pPr>
      <w:r>
        <w:t xml:space="preserve">Calculation: 0.00102 tonne * 50 km * 0.15 kg CO2e/tonne-km = 0.00765 kg CO2e</w:t>
      </w:r>
    </w:p>
    <w:p>
      <w:pPr>
        <w:pStyle w:val="FirstParagraph"/>
      </w:pPr>
      <w:r>
        <w:rPr>
          <w:bCs/>
          <w:b/>
        </w:rPr>
        <w:t xml:space="preserve">Total Transportation Emissions (Scope 3):</w:t>
      </w:r>
      <w:r>
        <w:t xml:space="preserve"> </w:t>
      </w:r>
      <w:r>
        <w:t xml:space="preserve">0.408 kg CO2e (Primary) + 0.00765 kg CO2e (Last-Mile) = 0.41565 kg CO2e</w:t>
      </w:r>
    </w:p>
    <w:bookmarkEnd w:id="40"/>
    <w:bookmarkEnd w:id="41"/>
    <w:bookmarkStart w:id="42" w:name="Xc8d47610e025d3b1fe367d676386ecee874efa3"/>
    <w:p>
      <w:pPr>
        <w:pStyle w:val="Heading3"/>
      </w:pPr>
      <w:r>
        <w:t xml:space="preserve">4.4 Use Phase (Scope 3, Category 11: Use of Sold Products)</w:t>
      </w:r>
    </w:p>
    <w:p>
      <w:pPr>
        <w:numPr>
          <w:ilvl w:val="0"/>
          <w:numId w:val="1009"/>
        </w:numPr>
        <w:pStyle w:val="Compact"/>
      </w:pPr>
      <w:r>
        <w:t xml:space="preserve">Product Lifespan: 5 years</w:t>
      </w:r>
    </w:p>
    <w:p>
      <w:pPr>
        <w:numPr>
          <w:ilvl w:val="0"/>
          <w:numId w:val="1009"/>
        </w:numPr>
        <w:pStyle w:val="Compact"/>
      </w:pPr>
      <w:r>
        <w:t xml:space="preserve">Annual Energy Consumption: 5 kWh/year</w:t>
      </w:r>
    </w:p>
    <w:p>
      <w:pPr>
        <w:numPr>
          <w:ilvl w:val="0"/>
          <w:numId w:val="1009"/>
        </w:numPr>
        <w:pStyle w:val="Compact"/>
      </w:pPr>
      <w:r>
        <w:t xml:space="preserve">Total Energy Consumption: 5 kWh/year * 5 years = 25 kWh</w:t>
      </w:r>
    </w:p>
    <w:p>
      <w:pPr>
        <w:numPr>
          <w:ilvl w:val="0"/>
          <w:numId w:val="1009"/>
        </w:numPr>
        <w:pStyle w:val="Compact"/>
      </w:pPr>
      <w:r>
        <w:t xml:space="preserve">Emission Factor: 0.58 kg CO2e/kWh (China grid mix)</w:t>
      </w:r>
    </w:p>
    <w:p>
      <w:pPr>
        <w:numPr>
          <w:ilvl w:val="0"/>
          <w:numId w:val="1009"/>
        </w:numPr>
        <w:pStyle w:val="Compact"/>
      </w:pPr>
      <w:r>
        <w:t xml:space="preserve">Calculation: 25 kWh * 0.58 kg CO2e/kWh = 14.50 kg CO2e</w:t>
      </w:r>
    </w:p>
    <w:p>
      <w:pPr>
        <w:pStyle w:val="FirstParagraph"/>
      </w:pPr>
      <w:r>
        <w:rPr>
          <w:bCs/>
          <w:b/>
        </w:rPr>
        <w:t xml:space="preserve">Total Use Phase Emissions (Scope 3):</w:t>
      </w:r>
      <w:r>
        <w:t xml:space="preserve"> </w:t>
      </w:r>
      <w:r>
        <w:t xml:space="preserve">14.50 kg CO2e</w:t>
      </w:r>
    </w:p>
    <w:bookmarkEnd w:id="42"/>
    <w:bookmarkStart w:id="43" w:name="X9982929b618de862c11111658ccce8db3e98553"/>
    <w:p>
      <w:pPr>
        <w:pStyle w:val="Heading3"/>
      </w:pPr>
      <w:r>
        <w:t xml:space="preserve">4.5 End-of-Life (EoL) (Scope 3, Category 12: End-of-Life Treatment of Sold Products)</w:t>
      </w:r>
    </w:p>
    <w:p>
      <w:pPr>
        <w:numPr>
          <w:ilvl w:val="0"/>
          <w:numId w:val="1010"/>
        </w:numPr>
        <w:pStyle w:val="Compact"/>
      </w:pPr>
      <w:r>
        <w:t xml:space="preserve">Recyclability Percentage: 70%</w:t>
      </w:r>
    </w:p>
    <w:p>
      <w:pPr>
        <w:numPr>
          <w:ilvl w:val="0"/>
          <w:numId w:val="1010"/>
        </w:numPr>
        <w:pStyle w:val="Compact"/>
      </w:pPr>
      <w:r>
        <w:t xml:space="preserve">Non-recycled portion of materials: 30% of 3.45 kg CO2e (initial material footprint)</w:t>
      </w:r>
    </w:p>
    <w:p>
      <w:pPr>
        <w:numPr>
          <w:ilvl w:val="0"/>
          <w:numId w:val="1010"/>
        </w:numPr>
        <w:pStyle w:val="Compact"/>
      </w:pPr>
      <w:r>
        <w:t xml:space="preserve">Recycled portion credit: 70% of 3.45 kg CO2e, assuming 50% of initial material emissions are avoided through recycling.</w:t>
      </w:r>
    </w:p>
    <w:p>
      <w:pPr>
        <w:numPr>
          <w:ilvl w:val="0"/>
          <w:numId w:val="1010"/>
        </w:numPr>
        <w:pStyle w:val="Compact"/>
      </w:pPr>
      <w:r>
        <w:t xml:space="preserve">Emissions from Disposal: (3.45 kg CO2e * 0.30) = 1.035 kg CO2e (simplified assumption for disposal emissions if not recycled, equating to full initial footprint for this portion)</w:t>
      </w:r>
    </w:p>
    <w:p>
      <w:pPr>
        <w:numPr>
          <w:ilvl w:val="0"/>
          <w:numId w:val="1010"/>
        </w:numPr>
        <w:pStyle w:val="Compact"/>
      </w:pPr>
      <w:r>
        <w:t xml:space="preserve">Avoided Emissions from Recycling: - (3.45 kg CO2e * 0.70 * 0.50) = -1.2075 kg CO2e</w:t>
      </w:r>
    </w:p>
    <w:p>
      <w:pPr>
        <w:numPr>
          <w:ilvl w:val="0"/>
          <w:numId w:val="1010"/>
        </w:numPr>
        <w:pStyle w:val="Compact"/>
      </w:pPr>
      <w:r>
        <w:t xml:space="preserve">Calculation: 1.035 kg CO2e - 1.2075 kg CO2e = -0.1725 kg CO2e</w:t>
      </w:r>
    </w:p>
    <w:p>
      <w:pPr>
        <w:pStyle w:val="FirstParagraph"/>
      </w:pPr>
      <w:r>
        <w:rPr>
          <w:bCs/>
          <w:b/>
        </w:rPr>
        <w:t xml:space="preserve">Net End-of-Life Impact (Scope 3):</w:t>
      </w:r>
      <w:r>
        <w:t xml:space="preserve"> </w:t>
      </w:r>
      <w:r>
        <w:t xml:space="preserve">-0.1725 kg CO2e (indicating a net carbon saving due to recycling)</w:t>
      </w:r>
    </w:p>
    <w:bookmarkEnd w:id="43"/>
    <w:bookmarkStart w:id="44"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3.450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4.060</w:t>
            </w:r>
          </w:p>
        </w:tc>
      </w:tr>
      <w:tr>
        <w:tc>
          <w:tcPr/>
          <w:p>
            <w:pPr>
              <w:pStyle w:val="Compact"/>
              <w:jc w:val="left"/>
            </w:pPr>
            <w:r>
              <w:t xml:space="preserve">Primary Transportation</w:t>
            </w:r>
          </w:p>
        </w:tc>
        <w:tc>
          <w:tcPr/>
          <w:p>
            <w:pPr>
              <w:pStyle w:val="Compact"/>
              <w:jc w:val="left"/>
            </w:pPr>
            <w:r>
              <w:t xml:space="preserve">Scope 3, Category 4</w:t>
            </w:r>
          </w:p>
        </w:tc>
        <w:tc>
          <w:tcPr/>
          <w:p>
            <w:pPr>
              <w:pStyle w:val="Compact"/>
              <w:jc w:val="left"/>
            </w:pPr>
            <w:r>
              <w:t xml:space="preserve">0.408</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-0.173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22.253</w:t>
            </w:r>
          </w:p>
        </w:tc>
      </w:tr>
    </w:tbl>
    <w:p>
      <w:pPr>
        <w:pStyle w:val="BodyText"/>
      </w:pPr>
      <w:r>
        <w:t xml:space="preserve">The total Product Carbon Footprint for one unit of kpfdzqqjnr is</w:t>
      </w:r>
      <w:r>
        <w:t xml:space="preserve"> </w:t>
      </w:r>
      <w:r>
        <w:rPr>
          <w:bCs/>
          <w:b/>
        </w:rPr>
        <w:t xml:space="preserve">22.253 kg CO2e</w:t>
      </w:r>
      <w:r>
        <w:t xml:space="preserve">.</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identification"/>
    <w:p>
      <w:pPr>
        <w:pStyle w:val="Heading3"/>
      </w:pPr>
      <w:r>
        <w:t xml:space="preserve">5.1 Emission Hotspots Identification</w:t>
      </w:r>
    </w:p>
    <w:p>
      <w:pPr>
        <w:pStyle w:val="FirstParagraph"/>
      </w:pPr>
      <w:r>
        <w:t xml:space="preserve">Based on the detailed analysis, the primary emission hotspots for `kpfdzqqjnr` are:</w:t>
      </w:r>
    </w:p>
    <w:p>
      <w:pPr>
        <w:numPr>
          <w:ilvl w:val="0"/>
          <w:numId w:val="1011"/>
        </w:numPr>
        <w:pStyle w:val="Compact"/>
      </w:pPr>
      <w:r>
        <w:rPr>
          <w:bCs/>
          <w:b/>
        </w:rPr>
        <w:t xml:space="preserve">Use Phase (14.50 kg CO2e):</w:t>
      </w:r>
      <w:r>
        <w:t xml:space="preserve"> </w:t>
      </w:r>
      <w:r>
        <w:t xml:space="preserve">This is the most significant contributor, primarily driven by the product\'s energy consumption over its assumed 5-year lifespan and the carbon intensity of the electricity grid in China.</w:t>
      </w:r>
    </w:p>
    <w:p>
      <w:pPr>
        <w:numPr>
          <w:ilvl w:val="0"/>
          <w:numId w:val="1011"/>
        </w:numPr>
        <w:pStyle w:val="Compact"/>
      </w:pPr>
      <w:r>
        <w:rPr>
          <w:bCs/>
          <w:b/>
        </w:rPr>
        <w:t xml:space="preserve">Production Energy (4.06 kg CO2e):</w:t>
      </w:r>
      <w:r>
        <w:t xml:space="preserve"> </w:t>
      </w:r>
      <w:r>
        <w:t xml:space="preserve">Although 30% renewable energy is used, the remaining grid electricity consumption in China still represents a substantial impact.</w:t>
      </w:r>
    </w:p>
    <w:p>
      <w:pPr>
        <w:numPr>
          <w:ilvl w:val="0"/>
          <w:numId w:val="1011"/>
        </w:numPr>
        <w:pStyle w:val="Compact"/>
      </w:pPr>
      <w:r>
        <w:rPr>
          <w:bCs/>
          <w:b/>
        </w:rPr>
        <w:t xml:space="preserve">Material Acquisition &amp; Processing (3.45 kg CO2e):</w:t>
      </w:r>
      <w:r>
        <w:t xml:space="preserve"> </w:t>
      </w:r>
      <w:r>
        <w:t xml:space="preserve">The embedded carbon in raw materials, especially aluminum and circuit boards, is a notable contributor.</w:t>
      </w:r>
    </w:p>
    <w:p>
      <w:pPr>
        <w:numPr>
          <w:ilvl w:val="0"/>
          <w:numId w:val="1011"/>
        </w:numPr>
        <w:pStyle w:val="Compact"/>
      </w:pPr>
      <w:r>
        <w:rPr>
          <w:bCs/>
          <w:b/>
        </w:rPr>
        <w:t xml:space="preserve">Transportation (0.416 kg CO2e):</w:t>
      </w:r>
      <w:r>
        <w:t xml:space="preserve"> </w:t>
      </w:r>
      <w:r>
        <w:t xml:space="preserve">While less significant than use phase or production, primary transportation over long distances contributes to the footprint.</w:t>
      </w:r>
    </w:p>
    <w:bookmarkEnd w:id="46"/>
    <w:bookmarkStart w:id="47" w:name="reliability-statement"/>
    <w:p>
      <w:pPr>
        <w:pStyle w:val="Heading3"/>
      </w:pPr>
      <w:r>
        <w:t xml:space="preserve">5.2 Reliability Statement</w:t>
      </w:r>
    </w:p>
    <w:p>
      <w:pPr>
        <w:pStyle w:val="FirstParagraph"/>
      </w:pPr>
      <w:r>
        <w:t xml:space="preserve">This PCF analysis for `kpfdzqqjnr` is based on the GHG Protocol standards and incorporates the provided specific data for Bill of Materials, transport, energy usage, product lifespan, and end-of-life scenarios. Where specific numerical values for placeholders were not provided (e.g., specific transport distances, energy intensity, recyclability percentage, energy consumption in use), plausible industry-average values and reasonable assumptions have been made, as explicitly stated in the report. Emission factors are drawn from reputable publicly available sources. The accuracy of the results is dependent on the reliability and completeness of the input data and the chosen assumptions for generic parameters. For future iterations, the use of primary data for all parameters is highly recommended to enhance precision.</w:t>
      </w:r>
    </w:p>
    <w:bookmarkEnd w:id="47"/>
    <w:bookmarkStart w:id="48" w:name="recommendations-for-uimrngidxm"/>
    <w:p>
      <w:pPr>
        <w:pStyle w:val="Heading3"/>
      </w:pPr>
      <w:r>
        <w:t xml:space="preserve">5.3 Recommendations for uimrngidxm</w:t>
      </w:r>
    </w:p>
    <w:p>
      <w:pPr>
        <w:numPr>
          <w:ilvl w:val="0"/>
          <w:numId w:val="1012"/>
        </w:numPr>
        <w:pStyle w:val="Compact"/>
      </w:pPr>
      <w:r>
        <w:rPr>
          <w:bCs/>
          <w:b/>
        </w:rPr>
        <w:t xml:space="preserve">Optimize Use Phase Efficiency:</w:t>
      </w:r>
      <w:r>
        <w:t xml:space="preserve"> </w:t>
      </w:r>
      <w:r>
        <w:t xml:space="preserve">Focus on reducing the energy consumption of `kpfdzqqjnr` during its operational lifespan through design improvements, energy-efficient components, or smart power management features.</w:t>
      </w:r>
    </w:p>
    <w:p>
      <w:pPr>
        <w:numPr>
          <w:ilvl w:val="0"/>
          <w:numId w:val="1012"/>
        </w:numPr>
        <w:pStyle w:val="Compact"/>
      </w:pPr>
      <w:r>
        <w:rPr>
          <w:bCs/>
          <w:b/>
        </w:rPr>
        <w:t xml:space="preserve">Enhance Renewable Energy Sourcing:</w:t>
      </w:r>
      <w:r>
        <w:t xml:space="preserve"> </w:t>
      </w:r>
      <w:r>
        <w:t xml:space="preserve">Increase the percentage of renewable energy used in production beyond the current 30% through direct procurement, on-site generation, or high-quality energy attribute certificates.</w:t>
      </w:r>
    </w:p>
    <w:p>
      <w:pPr>
        <w:numPr>
          <w:ilvl w:val="0"/>
          <w:numId w:val="1012"/>
        </w:numPr>
        <w:pStyle w:val="Compact"/>
      </w:pPr>
      <w:r>
        <w:rPr>
          <w:bCs/>
          <w:b/>
        </w:rPr>
        <w:t xml:space="preserve">Material Optimization:</w:t>
      </w:r>
      <w:r>
        <w:t xml:space="preserve"> </w:t>
      </w:r>
      <w:r>
        <w:t xml:space="preserve">Explore opportunities to use lower-carbon alternative materials, increase recycled content in materials, or optimize material usage to reduce the embedded emissions of the product.</w:t>
      </w:r>
    </w:p>
    <w:p>
      <w:pPr>
        <w:numPr>
          <w:ilvl w:val="0"/>
          <w:numId w:val="1012"/>
        </w:numPr>
        <w:pStyle w:val="Compact"/>
      </w:pPr>
      <w:r>
        <w:rPr>
          <w:bCs/>
          <w:b/>
        </w:rPr>
        <w:t xml:space="preserve">Supply Chain Engagement:</w:t>
      </w:r>
      <w:r>
        <w:t xml:space="preserve"> </w:t>
      </w:r>
      <w:r>
        <w:t xml:space="preserve">Work with suppliers to reduce their emissions, especially for high-impact components like aluminum and circuit boards.</w:t>
      </w:r>
    </w:p>
    <w:p>
      <w:pPr>
        <w:numPr>
          <w:ilvl w:val="0"/>
          <w:numId w:val="1012"/>
        </w:numPr>
        <w:pStyle w:val="Compact"/>
      </w:pPr>
      <w:r>
        <w:rPr>
          <w:bCs/>
          <w:b/>
        </w:rPr>
        <w:t xml:space="preserve">Strengthen Circular Economy Initiatives:</w:t>
      </w:r>
      <w:r>
        <w:t xml:space="preserve"> </w:t>
      </w:r>
      <w:r>
        <w:t xml:space="preserve">Further develop and promote take-back and recycling programs, aiming to increase the recyclability percentage and ensure high-quality material recovery at end-of-life to maximize carbon savings.</w:t>
      </w:r>
    </w:p>
    <w:p>
      <w:pPr>
        <w:numPr>
          <w:ilvl w:val="0"/>
          <w:numId w:val="1012"/>
        </w:numPr>
        <w:pStyle w:val="Compact"/>
      </w:pPr>
      <w:r>
        <w:rPr>
          <w:bCs/>
          <w:b/>
        </w:rPr>
        <w:t xml:space="preserve">Data Refinement:</w:t>
      </w:r>
      <w:r>
        <w:t xml:space="preserve"> </w:t>
      </w:r>
      <w:r>
        <w:t xml:space="preserve">Collect more granular, product-specific primary data for all lifecycle stages, particularly for transport distances, actual energy consumption in various use environments, and specific end-of-life processing routes, to continuously improve the accuracy of the PCF.</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kpfdzqqjnr</dc:title>
  <dc:creator/>
  <dc:description>Detailed Product Carbon Footprint (PCF) analysis report for kpfdzqqjnr by tlpnqjzwev, Senior Sustainability Consultant at uimrngidxm, adhering to GHG Protocol standards and the 2026 LSR update.</dc:description>
  <dc:language>en</dc:language>
  <cp:keywords/>
  <dcterms:created xsi:type="dcterms:W3CDTF">2026-07-15T13:37:37Z</dcterms:created>
  <dcterms:modified xsi:type="dcterms:W3CDTF">2026-07-15T13:37:37Z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