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Carbon</w:t>
      </w:r>
      <w:r>
        <w:t xml:space="preserve"> </w:t>
      </w:r>
      <w:r>
        <w:t xml:space="preserve">Footprint</w:t>
      </w:r>
      <w:r>
        <w:t xml:space="preserve"> </w:t>
      </w:r>
      <w:r>
        <w:t xml:space="preserve">Report</w:t>
      </w:r>
      <w:r>
        <w:t xml:space="preserve"> </w:t>
      </w:r>
      <w:r>
        <w:t xml:space="preserve">for</w:t>
      </w:r>
      <w:r>
        <w:t xml:space="preserve"> </w:t>
      </w:r>
      <w:r>
        <w:t xml:space="preserve">kopnvelnos</w:t>
      </w:r>
    </w:p>
    <w:p>
      <w:pPr>
        <w:pStyle w:val="FirstParagraph"/>
      </w:pPr>
      <w:r>
        <w:t xml:space="preserve">carboncalcpcf.com</w:t>
      </w:r>
    </w:p>
    <w:bookmarkStart w:id="20" w:name="Xf2e6ab5be446359d80f42f50d41e46314dfe19d"/>
    <w:p>
      <w:pPr>
        <w:pStyle w:val="Heading1"/>
      </w:pPr>
      <w:r>
        <w:t xml:space="preserve">Product Carbon Footprint (PCF) Analysis Report</w:t>
      </w:r>
    </w:p>
    <w:p>
      <w:pPr>
        <w:pStyle w:val="FirstParagraph"/>
      </w:pPr>
      <w:r>
        <w:rPr>
          <w:bCs/>
          <w:b/>
        </w:rPr>
        <w:t xml:space="preserve">Product Name:</w:t>
      </w:r>
      <w:r>
        <w:t xml:space="preserve"> </w:t>
      </w:r>
      <w:r>
        <w:t xml:space="preserve">kopnvelnos</w:t>
      </w:r>
    </w:p>
    <w:p>
      <w:pPr>
        <w:pStyle w:val="BodyText"/>
      </w:pPr>
      <w:r>
        <w:rPr>
          <w:bCs/>
          <w:b/>
        </w:rPr>
        <w:t xml:space="preserve">Company Name:</w:t>
      </w:r>
      <w:r>
        <w:t xml:space="preserve"> </w:t>
      </w:r>
      <w:r>
        <w:t xml:space="preserve">idxzlpdosu</w:t>
      </w:r>
    </w:p>
    <w:p>
      <w:pPr>
        <w:pStyle w:val="BodyText"/>
      </w:pPr>
      <w:r>
        <w:rPr>
          <w:bCs/>
          <w:b/>
        </w:rPr>
        <w:t xml:space="preserve">Accounting Standard:</w:t>
      </w:r>
      <w:r>
        <w:t xml:space="preserve"> </w:t>
      </w:r>
      <w:r>
        <w:t xml:space="preserve">GHG Protocol</w:t>
      </w:r>
    </w:p>
    <w:p>
      <w:pPr>
        <w:pStyle w:val="BodyText"/>
      </w:pPr>
      <w:r>
        <w:rPr>
          <w:bCs/>
          <w:b/>
        </w:rPr>
        <w:t xml:space="preserve">Senior Sustainability Consultant:</w:t>
      </w:r>
      <w:r>
        <w:t xml:space="preserve"> </w:t>
      </w:r>
      <w:r>
        <w:t xml:space="preserve">fughqydkli</w:t>
      </w:r>
    </w:p>
    <w:p>
      <w:pPr>
        <w:pStyle w:val="BodyText"/>
      </w:pPr>
      <w:r>
        <w:t xml:space="preserve">Disclaimer: This report is generated based on available data and industry standards, including specific parameters provided by the user. While efforts have been made to ensure accuracy and adherence to methodological guidelines, the results are indicative and subject to the quality and completeness of underlying data and assumptions.</w:t>
      </w:r>
    </w:p>
    <w:bookmarkEnd w:id="20"/>
    <w:bookmarkStart w:id="22" w:name="product-carbon-footprint-analysis"/>
    <w:p>
      <w:pPr>
        <w:pStyle w:val="Heading1"/>
      </w:pPr>
      <w:r>
        <w:t xml:space="preserve">Product Carbon Footprint Analysis</w:t>
      </w:r>
    </w:p>
    <w:bookmarkStart w:id="21" w:name="product-kopnvelnos"/>
    <w:p>
      <w:pPr>
        <w:pStyle w:val="Heading2"/>
      </w:pPr>
      <w:r>
        <w:t xml:space="preserve">Product: kopnvelnos</w:t>
      </w:r>
    </w:p>
    <w:p>
      <w:pPr>
        <w:pStyle w:val="FirstParagraph"/>
      </w:pPr>
      <w:r>
        <w:rPr>
          <w:bCs/>
          <w:b/>
        </w:rPr>
        <w:t xml:space="preserve">Generated Date:</w:t>
      </w:r>
      <w:r>
        <w:t xml:space="preserve"> </w:t>
      </w:r>
      <w:r>
        <w:t xml:space="preserve">May 27, 2026</w:t>
      </w:r>
    </w:p>
    <w:bookmarkEnd w:id="21"/>
    <w:bookmarkEnd w:id="22"/>
    <w:p>
      <w:r>
        <w:pict>
          <v:rect style="width:0;height:1.5pt" o:hralign="center" o:hrstd="t" o:hr="t"/>
        </w:pict>
      </w:r>
    </w:p>
    <w:bookmarkStart w:id="23" w:name="executive-summary"/>
    <w:p>
      <w:pPr>
        <w:pStyle w:val="Heading2"/>
      </w:pPr>
      <w:r>
        <w:t xml:space="preserve">1. Executive Summary</w:t>
      </w:r>
    </w:p>
    <w:bookmarkEnd w:id="23"/>
    <w:p>
      <w:pPr>
        <w:pStyle w:val="FirstParagraph"/>
      </w:pPr>
      <w:r>
        <w:t xml:space="preserve">This report presents a high-detail Product Carbon Footprint (PCF) analysis for \'kopnvelnos\', manufactured by idxzlpdosu. The analysis adheres strictly to the GHG Protocol standards, incorporating the latest 2026 Land Sector and Removals (LSR) Update, and ensures a robust Scope 3 coverage of at least 95%. The comprehensive assessment covers the entire lifecycle, from material acquisition and production in China, through European distribution and product use, to end-of-life scenarios. The total cradle-to-grave carbon footprint for one functional unit of kopnvelnos is calculated to be</w:t>
      </w:r>
      <w:r>
        <w:t xml:space="preserve"> </w:t>
      </w:r>
      <w:r>
        <w:rPr>
          <w:bCs/>
          <w:b/>
        </w:rPr>
        <w:t xml:space="preserve">17.48 kg CO2e</w:t>
      </w:r>
      <w:r>
        <w:t xml:space="preserve">. The use phase constitutes the largest portion of the footprint, highlighting significant opportunities for emission reduction through energy efficiency improvements and promoting renewable energy sources during product operation.</w:t>
      </w:r>
    </w:p>
    <w:p>
      <w:r>
        <w:pict>
          <v:rect style="width:0;height:1.5pt" o:hralign="center" o:hrstd="t" o:hr="t"/>
        </w:pict>
      </w:r>
    </w:p>
    <w:bookmarkStart w:id="24" w:name="scope-definition-and-methodology"/>
    <w:p>
      <w:pPr>
        <w:pStyle w:val="Heading2"/>
      </w:pPr>
      <w:r>
        <w:t xml:space="preserve">2. Scope Definition and Methodology</w:t>
      </w:r>
    </w:p>
    <w:bookmarkEnd w:id="24"/>
    <w:bookmarkStart w:id="25" w:name="functional-unit"/>
    <w:p>
      <w:pPr>
        <w:pStyle w:val="Heading3"/>
      </w:pPr>
      <w:r>
        <w:t xml:space="preserve">2.1. Functional Unit</w:t>
      </w:r>
    </w:p>
    <w:p>
      <w:pPr>
        <w:numPr>
          <w:ilvl w:val="0"/>
          <w:numId w:val="1001"/>
        </w:numPr>
        <w:pStyle w:val="Compact"/>
      </w:pPr>
      <w:r>
        <w:t xml:space="preserve">The functional unit for this analysis is defined as</w:t>
      </w:r>
      <w:r>
        <w:t xml:space="preserve"> </w:t>
      </w:r>
      <w:r>
        <w:rPr>
          <w:bCs/>
          <w:b/>
        </w:rPr>
        <w:t xml:space="preserve">1.0 unit of kopnvelnos</w:t>
      </w:r>
      <w:r>
        <w:t xml:space="preserve">. This represents the quantified performance of the product for which the environmental impacts are assessed.</w:t>
      </w:r>
    </w:p>
    <w:bookmarkEnd w:id="25"/>
    <w:bookmarkStart w:id="26" w:name="system-boundary"/>
    <w:p>
      <w:pPr>
        <w:pStyle w:val="Heading3"/>
      </w:pPr>
      <w:r>
        <w:t xml:space="preserve">2.2. System Boundary</w:t>
      </w:r>
    </w:p>
    <w:p>
      <w:pPr>
        <w:numPr>
          <w:ilvl w:val="0"/>
          <w:numId w:val="1002"/>
        </w:numPr>
        <w:pStyle w:val="Compact"/>
      </w:pPr>
      <w:r>
        <w:t xml:space="preserve">The primary system boundary for reporting purposes is **"factory_gate"** for direct production impacts, as per provided parameters. However, a comprehensive</w:t>
      </w:r>
      <w:r>
        <w:t xml:space="preserve"> </w:t>
      </w:r>
      <w:r>
        <w:rPr>
          <w:bCs/>
          <w:b/>
        </w:rPr>
        <w:t xml:space="preserve">cradle-to-grave</w:t>
      </w:r>
      <w:r>
        <w:t xml:space="preserve"> </w:t>
      </w:r>
      <w:r>
        <w:t xml:space="preserve">assessment has been performed to include all upstream and downstream emissions based on the provided parameters, encompassing material acquisition, manufacturing, transportation, use phase, and end-of-life treatment. This approach ensures full compliance with Scope 3 reporting requirements.</w:t>
      </w:r>
    </w:p>
    <w:bookmarkEnd w:id="26"/>
    <w:bookmarkStart w:id="27" w:name="geographic-scope"/>
    <w:p>
      <w:pPr>
        <w:pStyle w:val="Heading3"/>
      </w:pPr>
      <w:r>
        <w:t xml:space="preserve">2.3. Geographic Scope</w:t>
      </w:r>
    </w:p>
    <w:p>
      <w:pPr>
        <w:numPr>
          <w:ilvl w:val="0"/>
          <w:numId w:val="1003"/>
        </w:numPr>
        <w:pStyle w:val="Compact"/>
      </w:pPr>
      <w:r>
        <w:rPr>
          <w:bCs/>
          <w:b/>
        </w:rPr>
        <w:t xml:space="preserve">Final Production Country:</w:t>
      </w:r>
      <w:r>
        <w:t xml:space="preserve"> </w:t>
      </w:r>
      <w:r>
        <w:t xml:space="preserve">China (as per provided parameters)</w:t>
      </w:r>
    </w:p>
    <w:p>
      <w:pPr>
        <w:numPr>
          <w:ilvl w:val="0"/>
          <w:numId w:val="1003"/>
        </w:numPr>
        <w:pStyle w:val="Compact"/>
      </w:pPr>
      <w:r>
        <w:rPr>
          <w:bCs/>
          <w:b/>
        </w:rPr>
        <w:t xml:space="preserve">Supply Chain Focus:</w:t>
      </w:r>
      <w:r>
        <w:t xml:space="preserve"> </w:t>
      </w:r>
      <w:r>
        <w:t xml:space="preserve">Europe Focused (transportation, distribution, and use phase largely concentrated within Europe, as per provided parameters)</w:t>
      </w:r>
    </w:p>
    <w:bookmarkEnd w:id="27"/>
    <w:bookmarkStart w:id="28" w:name="accounting-standard"/>
    <w:p>
      <w:pPr>
        <w:pStyle w:val="Heading3"/>
      </w:pPr>
      <w:r>
        <w:t xml:space="preserve">2.4. Accounting Standard</w:t>
      </w:r>
    </w:p>
    <w:p>
      <w:pPr>
        <w:numPr>
          <w:ilvl w:val="0"/>
          <w:numId w:val="1004"/>
        </w:numPr>
        <w:pStyle w:val="Compact"/>
      </w:pPr>
      <w:r>
        <w:t xml:space="preserve">This Product Carbon Footprint analysis is conducted in accordance with the</w:t>
      </w:r>
      <w:r>
        <w:t xml:space="preserve"> </w:t>
      </w:r>
      <w:r>
        <w:rPr>
          <w:bCs/>
          <w:b/>
        </w:rPr>
        <w:t xml:space="preserve">GHG Protocol (A Corporate Accounting and Reporting Standard)</w:t>
      </w:r>
      <w:r>
        <w:t xml:space="preserve">. Emissions are categorized into Scope 1 (direct emissions), Scope 2 (indirect emissions from purchased energy), and Scope 3 (all other indirect emissions in the value chain).</w:t>
      </w:r>
    </w:p>
    <w:p>
      <w:pPr>
        <w:numPr>
          <w:ilvl w:val="0"/>
          <w:numId w:val="1004"/>
        </w:numPr>
        <w:pStyle w:val="Compact"/>
      </w:pPr>
      <w:r>
        <w:t xml:space="preserve">The analysis also applies the principles of the</w:t>
      </w:r>
      <w:r>
        <w:t xml:space="preserve"> </w:t>
      </w:r>
      <w:r>
        <w:rPr>
          <w:bCs/>
          <w:b/>
        </w:rPr>
        <w:t xml:space="preserve">2026 Land Sector and Removals (LSR) Standard Update</w:t>
      </w:r>
      <w:r>
        <w:t xml:space="preserve">. This standard, released on January 30, 2026, and effective January 1, 2027, provides accounting requirements for entities with significant land sector activities and those choosing to report CO2 removals or capture with geologic storage. It builds upon the Corporate Standard and Scope 3 Standard, focusing on agriculture and CO2 removal technologies, but currently excludes forestry.</w:t>
      </w:r>
    </w:p>
    <w:bookmarkEnd w:id="28"/>
    <w:bookmarkStart w:id="29" w:name="allocation"/>
    <w:p>
      <w:pPr>
        <w:pStyle w:val="Heading3"/>
      </w:pPr>
      <w:r>
        <w:t xml:space="preserve">2.5. Allocation</w:t>
      </w:r>
    </w:p>
    <w:p>
      <w:pPr>
        <w:numPr>
          <w:ilvl w:val="0"/>
          <w:numId w:val="1005"/>
        </w:numPr>
        <w:pStyle w:val="Compact"/>
      </w:pPr>
      <w:r>
        <w:t xml:space="preserve">Given the analysis is for a single product, direct allocation of emissions to the functional unit has been applied across all lifecycle stages. For shared processes (e.g., transport), emissions have been allocated based on mass.</w:t>
      </w:r>
    </w:p>
    <w:p>
      <w:r>
        <w:pict>
          <v:rect style="width:0;height:1.5pt" o:hralign="center" o:hrstd="t" o:hr="t"/>
        </w:pict>
      </w:r>
    </w:p>
    <w:bookmarkEnd w:id="29"/>
    <w:bookmarkStart w:id="30" w:name="X939a47aef72a4a28c08ea406bdad185696e1f66"/>
    <w:p>
      <w:pPr>
        <w:pStyle w:val="Heading2"/>
      </w:pPr>
      <w:r>
        <w:t xml:space="preserve">3. Lifecycle Inventory (LCI) and Data Collection</w:t>
      </w:r>
    </w:p>
    <w:bookmarkEnd w:id="30"/>
    <w:p>
      <w:pPr>
        <w:pStyle w:val="FirstParagraph"/>
      </w:pPr>
      <w:r>
        <w:t xml:space="preserve">This section details the primary and secondary data points collected for each lifecycle stage of \'kopnvelnos\'. The "Total Carbon" values for Bill of Materials items are directly utilized as per the provided parameters, representing the embodied emissions up to the point of material input to manufacturing.</w:t>
      </w:r>
    </w:p>
    <w:bookmarkStart w:id="31" w:name="Xa124a95b981c370289279a4b723120ad8e79cc2"/>
    <w:p>
      <w:pPr>
        <w:pStyle w:val="Heading3"/>
      </w:pPr>
      <w:r>
        <w:t xml:space="preserve">3.1. Materials Acquisition &amp; Pre-processing (Scope 3 - Upstream)</w:t>
      </w:r>
    </w:p>
    <w:p>
      <w:pPr>
        <w:pStyle w:val="FirstParagraph"/>
      </w:pPr>
      <w:r>
        <w:t xml:space="preserve">The detailed Bill of Materials (BOM) for \'kopnvelnos\' (vjdwrodz) was utilized to calculate the upstream material impacts. The provided \'Total Carbon\' for each item directly reflects the embodied emissions, inclusive of raw material extraction and pre-processing, as specified in the analysis parameters.</w:t>
      </w:r>
    </w:p>
    <w:tbl>
      <w:tblPr>
        <w:tblStyle w:val="Table"/>
        <w:tblW w:type="auto" w:w="0"/>
        <w:tblLook w:firstRow="1" w:lastRow="0" w:firstColumn="0" w:lastColumn="0" w:noHBand="0" w:noVBand="0" w:val="0020"/>
        <w:jc w:val="start"/>
      </w:tblPr>
      <w:tblGrid>
        <w:gridCol w:w="990"/>
        <w:gridCol w:w="990"/>
        <w:gridCol w:w="990"/>
        <w:gridCol w:w="990"/>
        <w:gridCol w:w="990"/>
        <w:gridCol w:w="990"/>
        <w:gridCol w:w="990"/>
        <w:gridCol w:w="990"/>
      </w:tblGrid>
      <w:tr>
        <w:trPr>
          <w:tblHeader w:val="true"/>
        </w:trPr>
        <w:tc>
          <w:tcPr/>
          <w:p>
            <w:pPr>
              <w:pStyle w:val="Compact"/>
              <w:jc w:val="left"/>
            </w:pPr>
            <w:r>
              <w:t xml:space="preserve">ID</w:t>
            </w:r>
          </w:p>
        </w:tc>
        <w:tc>
          <w:tcPr/>
          <w:p>
            <w:pPr>
              <w:pStyle w:val="Compact"/>
              <w:jc w:val="left"/>
            </w:pPr>
            <w:r>
              <w:t xml:space="preserve">Description</w:t>
            </w:r>
          </w:p>
        </w:tc>
        <w:tc>
          <w:tcPr/>
          <w:p>
            <w:pPr>
              <w:pStyle w:val="Compact"/>
              <w:jc w:val="left"/>
            </w:pPr>
            <w:r>
              <w:t xml:space="preserve">Category</w:t>
            </w:r>
          </w:p>
        </w:tc>
        <w:tc>
          <w:tcPr/>
          <w:p>
            <w:pPr>
              <w:pStyle w:val="Compact"/>
              <w:jc w:val="left"/>
            </w:pPr>
            <w:r>
              <w:t xml:space="preserve">Process</w:t>
            </w:r>
          </w:p>
        </w:tc>
        <w:tc>
          <w:tcPr/>
          <w:p>
            <w:pPr>
              <w:pStyle w:val="Compact"/>
              <w:jc w:val="left"/>
            </w:pPr>
            <w:r>
              <w:t xml:space="preserve">Qty</w:t>
            </w:r>
          </w:p>
        </w:tc>
        <w:tc>
          <w:tcPr/>
          <w:p>
            <w:pPr>
              <w:pStyle w:val="Compact"/>
              <w:jc w:val="left"/>
            </w:pPr>
            <w:r>
              <w:t xml:space="preserve">Unit</w:t>
            </w:r>
          </w:p>
        </w:tc>
        <w:tc>
          <w:tcPr/>
          <w:p>
            <w:pPr>
              <w:pStyle w:val="Compact"/>
              <w:jc w:val="left"/>
            </w:pPr>
            <w:r>
              <w:t xml:space="preserve">Emission Factor (kgCO2e/Unit)</w:t>
            </w:r>
          </w:p>
        </w:tc>
        <w:tc>
          <w:tcPr/>
          <w:p>
            <w:pPr>
              <w:pStyle w:val="Compact"/>
              <w:jc w:val="left"/>
            </w:pPr>
            <w:r>
              <w:t xml:space="preserve">Total Carbon (kgCO2e)</w:t>
            </w:r>
          </w:p>
        </w:tc>
      </w:tr>
      <w:tr>
        <w:tc>
          <w:tcPr/>
          <w:p>
            <w:pPr>
              <w:pStyle w:val="Compact"/>
              <w:jc w:val="left"/>
            </w:pPr>
            <w:r>
              <w:t xml:space="preserve">M001</w:t>
            </w:r>
          </w:p>
        </w:tc>
        <w:tc>
          <w:tcPr/>
          <w:p>
            <w:pPr>
              <w:pStyle w:val="Compact"/>
              <w:jc w:val="left"/>
            </w:pPr>
            <w:r>
              <w:t xml:space="preserve">Aluminum Casing</w:t>
            </w:r>
          </w:p>
        </w:tc>
        <w:tc>
          <w:tcPr/>
          <w:p>
            <w:pPr>
              <w:pStyle w:val="Compact"/>
              <w:jc w:val="left"/>
            </w:pPr>
            <w:r>
              <w:t xml:space="preserve">Metal</w:t>
            </w:r>
          </w:p>
        </w:tc>
        <w:tc>
          <w:tcPr/>
          <w:p>
            <w:pPr>
              <w:pStyle w:val="Compact"/>
              <w:jc w:val="left"/>
            </w:pPr>
            <w:r>
              <w:t xml:space="preserve">Extrusion</w:t>
            </w:r>
          </w:p>
        </w:tc>
        <w:tc>
          <w:tcPr/>
          <w:p>
            <w:pPr>
              <w:pStyle w:val="Compact"/>
              <w:jc w:val="left"/>
            </w:pPr>
            <w:r>
              <w:t xml:space="preserve">0.15</w:t>
            </w:r>
          </w:p>
        </w:tc>
        <w:tc>
          <w:tcPr/>
          <w:p>
            <w:pPr>
              <w:pStyle w:val="Compact"/>
              <w:jc w:val="left"/>
            </w:pPr>
            <w:r>
              <w:t xml:space="preserve">kg</w:t>
            </w:r>
          </w:p>
        </w:tc>
        <w:tc>
          <w:tcPr/>
          <w:p>
            <w:pPr>
              <w:pStyle w:val="Compact"/>
              <w:jc w:val="left"/>
            </w:pPr>
            <w:r>
              <w:t xml:space="preserve">9.0</w:t>
            </w:r>
          </w:p>
        </w:tc>
        <w:tc>
          <w:tcPr/>
          <w:p>
            <w:pPr>
              <w:pStyle w:val="Compact"/>
              <w:jc w:val="left"/>
            </w:pPr>
            <w:r>
              <w:t xml:space="preserve">1.35</w:t>
            </w:r>
          </w:p>
        </w:tc>
      </w:tr>
      <w:tr>
        <w:tc>
          <w:tcPr/>
          <w:p>
            <w:pPr>
              <w:pStyle w:val="Compact"/>
              <w:jc w:val="left"/>
            </w:pPr>
            <w:r>
              <w:t xml:space="preserve">M002</w:t>
            </w:r>
          </w:p>
        </w:tc>
        <w:tc>
          <w:tcPr/>
          <w:p>
            <w:pPr>
              <w:pStyle w:val="Compact"/>
              <w:jc w:val="left"/>
            </w:pPr>
            <w:r>
              <w:t xml:space="preserve">ABS Plastic Components</w:t>
            </w:r>
          </w:p>
        </w:tc>
        <w:tc>
          <w:tcPr/>
          <w:p>
            <w:pPr>
              <w:pStyle w:val="Compact"/>
              <w:jc w:val="left"/>
            </w:pPr>
            <w:r>
              <w:t xml:space="preserve">Plastic</w:t>
            </w:r>
          </w:p>
        </w:tc>
        <w:tc>
          <w:tcPr/>
          <w:p>
            <w:pPr>
              <w:pStyle w:val="Compact"/>
              <w:jc w:val="left"/>
            </w:pPr>
            <w:r>
              <w:t xml:space="preserve">Injection Molding</w:t>
            </w:r>
          </w:p>
        </w:tc>
        <w:tc>
          <w:tcPr/>
          <w:p>
            <w:pPr>
              <w:pStyle w:val="Compact"/>
              <w:jc w:val="left"/>
            </w:pPr>
            <w:r>
              <w:t xml:space="preserve">0.05</w:t>
            </w:r>
          </w:p>
        </w:tc>
        <w:tc>
          <w:tcPr/>
          <w:p>
            <w:pPr>
              <w:pStyle w:val="Compact"/>
              <w:jc w:val="left"/>
            </w:pPr>
            <w:r>
              <w:t xml:space="preserve">kg</w:t>
            </w:r>
          </w:p>
        </w:tc>
        <w:tc>
          <w:tcPr/>
          <w:p>
            <w:pPr>
              <w:pStyle w:val="Compact"/>
              <w:jc w:val="left"/>
            </w:pPr>
            <w:r>
              <w:t xml:space="preserve">3.0</w:t>
            </w:r>
          </w:p>
        </w:tc>
        <w:tc>
          <w:tcPr/>
          <w:p>
            <w:pPr>
              <w:pStyle w:val="Compact"/>
              <w:jc w:val="left"/>
            </w:pPr>
            <w:r>
              <w:t xml:space="preserve">0.15</w:t>
            </w:r>
          </w:p>
        </w:tc>
      </w:tr>
      <w:tr>
        <w:tc>
          <w:tcPr/>
          <w:p>
            <w:pPr>
              <w:pStyle w:val="Compact"/>
              <w:jc w:val="left"/>
            </w:pPr>
            <w:r>
              <w:t xml:space="preserve">M003</w:t>
            </w:r>
          </w:p>
        </w:tc>
        <w:tc>
          <w:tcPr/>
          <w:p>
            <w:pPr>
              <w:pStyle w:val="Compact"/>
              <w:jc w:val="left"/>
            </w:pPr>
            <w:r>
              <w:t xml:space="preserve">Printed Circuit Board (PCB) with components</w:t>
            </w:r>
          </w:p>
        </w:tc>
        <w:tc>
          <w:tcPr/>
          <w:p>
            <w:pPr>
              <w:pStyle w:val="Compact"/>
              <w:jc w:val="left"/>
            </w:pPr>
            <w:r>
              <w:t xml:space="preserve">Electronics</w:t>
            </w:r>
          </w:p>
        </w:tc>
        <w:tc>
          <w:tcPr/>
          <w:p>
            <w:pPr>
              <w:pStyle w:val="Compact"/>
              <w:jc w:val="left"/>
            </w:pPr>
            <w:r>
              <w:t xml:space="preserve">Assembly</w:t>
            </w:r>
          </w:p>
        </w:tc>
        <w:tc>
          <w:tcPr/>
          <w:p>
            <w:pPr>
              <w:pStyle w:val="Compact"/>
              <w:jc w:val="left"/>
            </w:pPr>
            <w:r>
              <w:t xml:space="preserve">0.03</w:t>
            </w:r>
          </w:p>
        </w:tc>
        <w:tc>
          <w:tcPr/>
          <w:p>
            <w:pPr>
              <w:pStyle w:val="Compact"/>
              <w:jc w:val="left"/>
            </w:pPr>
            <w:r>
              <w:t xml:space="preserve">kg</w:t>
            </w:r>
          </w:p>
        </w:tc>
        <w:tc>
          <w:tcPr/>
          <w:p>
            <w:pPr>
              <w:pStyle w:val="Compact"/>
              <w:jc w:val="left"/>
            </w:pPr>
            <w:r>
              <w:t xml:space="preserve">30.0</w:t>
            </w:r>
          </w:p>
        </w:tc>
        <w:tc>
          <w:tcPr/>
          <w:p>
            <w:pPr>
              <w:pStyle w:val="Compact"/>
              <w:jc w:val="left"/>
            </w:pPr>
            <w:r>
              <w:t xml:space="preserve">0.90</w:t>
            </w:r>
          </w:p>
        </w:tc>
      </w:tr>
      <w:tr>
        <w:tc>
          <w:tcPr/>
          <w:p>
            <w:pPr>
              <w:pStyle w:val="Compact"/>
              <w:jc w:val="left"/>
            </w:pPr>
            <w:r>
              <w:t xml:space="preserve">M004</w:t>
            </w:r>
          </w:p>
        </w:tc>
        <w:tc>
          <w:tcPr/>
          <w:p>
            <w:pPr>
              <w:pStyle w:val="Compact"/>
              <w:jc w:val="left"/>
            </w:pPr>
            <w:r>
              <w:t xml:space="preserve">Li-ion Battery (small)</w:t>
            </w:r>
          </w:p>
        </w:tc>
        <w:tc>
          <w:tcPr/>
          <w:p>
            <w:pPr>
              <w:pStyle w:val="Compact"/>
              <w:jc w:val="left"/>
            </w:pPr>
            <w:r>
              <w:t xml:space="preserve">Electronics</w:t>
            </w:r>
          </w:p>
        </w:tc>
        <w:tc>
          <w:tcPr/>
          <w:p>
            <w:pPr>
              <w:pStyle w:val="Compact"/>
              <w:jc w:val="left"/>
            </w:pPr>
            <w:r>
              <w:t xml:space="preserve">Manufacturing</w:t>
            </w:r>
          </w:p>
        </w:tc>
        <w:tc>
          <w:tcPr/>
          <w:p>
            <w:pPr>
              <w:pStyle w:val="Compact"/>
              <w:jc w:val="left"/>
            </w:pPr>
            <w:r>
              <w:t xml:space="preserve">0.02</w:t>
            </w:r>
          </w:p>
        </w:tc>
        <w:tc>
          <w:tcPr/>
          <w:p>
            <w:pPr>
              <w:pStyle w:val="Compact"/>
              <w:jc w:val="left"/>
            </w:pPr>
            <w:r>
              <w:t xml:space="preserve">kg</w:t>
            </w:r>
          </w:p>
        </w:tc>
        <w:tc>
          <w:tcPr/>
          <w:p>
            <w:pPr>
              <w:pStyle w:val="Compact"/>
              <w:jc w:val="left"/>
            </w:pPr>
            <w:r>
              <w:t xml:space="preserve">25.0</w:t>
            </w:r>
          </w:p>
        </w:tc>
        <w:tc>
          <w:tcPr/>
          <w:p>
            <w:pPr>
              <w:pStyle w:val="Compact"/>
              <w:jc w:val="left"/>
            </w:pPr>
            <w:r>
              <w:t xml:space="preserve">0.50</w:t>
            </w:r>
          </w:p>
        </w:tc>
      </w:tr>
      <w:tr>
        <w:tc>
          <w:tcPr/>
          <w:p>
            <w:pPr>
              <w:pStyle w:val="Compact"/>
              <w:jc w:val="left"/>
            </w:pPr>
            <w:r>
              <w:t xml:space="preserve">M005</w:t>
            </w:r>
          </w:p>
        </w:tc>
        <w:tc>
          <w:tcPr/>
          <w:p>
            <w:pPr>
              <w:pStyle w:val="Compact"/>
              <w:jc w:val="left"/>
            </w:pPr>
            <w:r>
              <w:t xml:space="preserve">Copper Wiring</w:t>
            </w:r>
          </w:p>
        </w:tc>
        <w:tc>
          <w:tcPr/>
          <w:p>
            <w:pPr>
              <w:pStyle w:val="Compact"/>
              <w:jc w:val="left"/>
            </w:pPr>
            <w:r>
              <w:t xml:space="preserve">Metal</w:t>
            </w:r>
          </w:p>
        </w:tc>
        <w:tc>
          <w:tcPr/>
          <w:p>
            <w:pPr>
              <w:pStyle w:val="Compact"/>
              <w:jc w:val="left"/>
            </w:pPr>
            <w:r>
              <w:t xml:space="preserve">Drawing</w:t>
            </w:r>
          </w:p>
        </w:tc>
        <w:tc>
          <w:tcPr/>
          <w:p>
            <w:pPr>
              <w:pStyle w:val="Compact"/>
              <w:jc w:val="left"/>
            </w:pPr>
            <w:r>
              <w:t xml:space="preserve">0.005</w:t>
            </w:r>
          </w:p>
        </w:tc>
        <w:tc>
          <w:tcPr/>
          <w:p>
            <w:pPr>
              <w:pStyle w:val="Compact"/>
              <w:jc w:val="left"/>
            </w:pPr>
            <w:r>
              <w:t xml:space="preserve">kg</w:t>
            </w:r>
          </w:p>
        </w:tc>
        <w:tc>
          <w:tcPr/>
          <w:p>
            <w:pPr>
              <w:pStyle w:val="Compact"/>
              <w:jc w:val="left"/>
            </w:pPr>
            <w:r>
              <w:t xml:space="preserve">4.0</w:t>
            </w:r>
          </w:p>
        </w:tc>
        <w:tc>
          <w:tcPr/>
          <w:p>
            <w:pPr>
              <w:pStyle w:val="Compact"/>
              <w:jc w:val="left"/>
            </w:pPr>
            <w:r>
              <w:t xml:space="preserve">0.02</w:t>
            </w:r>
          </w:p>
        </w:tc>
      </w:tr>
      <w:tr>
        <w:tc>
          <w:tcPr/>
          <w:p>
            <w:pPr>
              <w:pStyle w:val="Compact"/>
              <w:jc w:val="left"/>
            </w:pPr>
            <w:r>
              <w:t xml:space="preserve">M006</w:t>
            </w:r>
          </w:p>
        </w:tc>
        <w:tc>
          <w:tcPr/>
          <w:p>
            <w:pPr>
              <w:pStyle w:val="Compact"/>
              <w:jc w:val="left"/>
            </w:pPr>
            <w:r>
              <w:t xml:space="preserve">Packaging (Cardboard &amp; PE Film)</w:t>
            </w:r>
          </w:p>
        </w:tc>
        <w:tc>
          <w:tcPr/>
          <w:p>
            <w:pPr>
              <w:pStyle w:val="Compact"/>
              <w:jc w:val="left"/>
            </w:pPr>
            <w:r>
              <w:t xml:space="preserve">Packaging</w:t>
            </w:r>
          </w:p>
        </w:tc>
        <w:tc>
          <w:tcPr/>
          <w:p>
            <w:pPr>
              <w:pStyle w:val="Compact"/>
              <w:jc w:val="left"/>
            </w:pPr>
            <w:r>
              <w:t xml:space="preserve">Converting</w:t>
            </w:r>
          </w:p>
        </w:tc>
        <w:tc>
          <w:tcPr/>
          <w:p>
            <w:pPr>
              <w:pStyle w:val="Compact"/>
              <w:jc w:val="left"/>
            </w:pPr>
            <w:r>
              <w:t xml:space="preserve">0.08</w:t>
            </w:r>
          </w:p>
        </w:tc>
        <w:tc>
          <w:tcPr/>
          <w:p>
            <w:pPr>
              <w:pStyle w:val="Compact"/>
              <w:jc w:val="left"/>
            </w:pPr>
            <w:r>
              <w:t xml:space="preserve">kg</w:t>
            </w:r>
          </w:p>
        </w:tc>
        <w:tc>
          <w:tcPr/>
          <w:p>
            <w:pPr>
              <w:pStyle w:val="Compact"/>
              <w:jc w:val="left"/>
            </w:pPr>
            <w:r>
              <w:t xml:space="preserve">1.5</w:t>
            </w:r>
          </w:p>
        </w:tc>
        <w:tc>
          <w:tcPr/>
          <w:p>
            <w:pPr>
              <w:pStyle w:val="Compact"/>
              <w:jc w:val="left"/>
            </w:pPr>
            <w:r>
              <w:t xml:space="preserve">0.12</w:t>
            </w:r>
          </w:p>
        </w:tc>
      </w:tr>
      <w:tr>
        <w:tc>
          <w:tcPr>
            <w:gridSpan w:val="7"/>
          </w:tcPr>
          <w:p>
            <w:pPr>
              <w:pStyle w:val="Compact"/>
              <w:jc w:val="right"/>
            </w:pPr>
            <w:r>
              <w:t xml:space="preserve">Total Material Carbon Footprint:</w:t>
            </w:r>
          </w:p>
        </w:tc>
        <w:tc>
          <w:tcPr/>
          <w:p>
            <w:pPr>
              <w:pStyle w:val="Compact"/>
              <w:jc w:val="left"/>
            </w:pPr>
            <w:r>
              <w:t xml:space="preserve">3.04</w:t>
            </w:r>
          </w:p>
        </w:tc>
      </w:tr>
    </w:tbl>
    <w:bookmarkEnd w:id="31"/>
    <w:bookmarkStart w:id="32" w:name="Xb13879404536004be110bb520cc080f7cf43298"/>
    <w:p>
      <w:pPr>
        <w:pStyle w:val="Heading3"/>
      </w:pPr>
      <w:r>
        <w:t xml:space="preserve">3.2. Production/Manufacturing (Factory Gate - Scope 2)</w:t>
      </w:r>
    </w:p>
    <w:p>
      <w:pPr>
        <w:numPr>
          <w:ilvl w:val="0"/>
          <w:numId w:val="1006"/>
        </w:numPr>
        <w:pStyle w:val="Compact"/>
      </w:pPr>
      <w:r>
        <w:rPr>
          <w:bCs/>
          <w:b/>
        </w:rPr>
        <w:t xml:space="preserve">Location:</w:t>
      </w:r>
      <w:r>
        <w:t xml:space="preserve"> </w:t>
      </w:r>
      <w:r>
        <w:t xml:space="preserve">China (as per provided parameters)</w:t>
      </w:r>
    </w:p>
    <w:p>
      <w:pPr>
        <w:numPr>
          <w:ilvl w:val="0"/>
          <w:numId w:val="1006"/>
        </w:numPr>
        <w:pStyle w:val="Compact"/>
      </w:pPr>
      <w:r>
        <w:rPr>
          <w:bCs/>
          <w:b/>
        </w:rPr>
        <w:t xml:space="preserve">Energy Intensity:</w:t>
      </w:r>
      <w:r>
        <w:t xml:space="preserve"> </w:t>
      </w:r>
      <w:r>
        <w:t xml:space="preserve">8 kWh/unit (as per provided parameters)</w:t>
      </w:r>
    </w:p>
    <w:p>
      <w:pPr>
        <w:numPr>
          <w:ilvl w:val="0"/>
          <w:numId w:val="1006"/>
        </w:numPr>
        <w:pStyle w:val="Compact"/>
      </w:pPr>
      <w:r>
        <w:rPr>
          <w:bCs/>
          <w:b/>
        </w:rPr>
        <w:t xml:space="preserve">Renewable Energy Usage:</w:t>
      </w:r>
      <w:r>
        <w:t xml:space="preserve"> </w:t>
      </w:r>
      <w:r>
        <w:t xml:space="preserve">40% (as per provided parameters)</w:t>
      </w:r>
    </w:p>
    <w:p>
      <w:pPr>
        <w:numPr>
          <w:ilvl w:val="0"/>
          <w:numId w:val="1006"/>
        </w:numPr>
        <w:pStyle w:val="Compact"/>
      </w:pPr>
      <w:r>
        <w:rPr>
          <w:bCs/>
          <w:b/>
        </w:rPr>
        <w:t xml:space="preserve">Non-renewable Electricity:</w:t>
      </w:r>
      <w:r>
        <w:t xml:space="preserve"> </w:t>
      </w:r>
      <w:r>
        <w:t xml:space="preserve">4.8 kWh/unit (8 kWh * 60%)</w:t>
      </w:r>
    </w:p>
    <w:p>
      <w:pPr>
        <w:numPr>
          <w:ilvl w:val="0"/>
          <w:numId w:val="1006"/>
        </w:numPr>
        <w:pStyle w:val="Compact"/>
      </w:pPr>
      <w:r>
        <w:rPr>
          <w:bCs/>
          <w:b/>
        </w:rPr>
        <w:t xml:space="preserve">Renewable Electricity:</w:t>
      </w:r>
      <w:r>
        <w:t xml:space="preserve"> </w:t>
      </w:r>
      <w:r>
        <w:t xml:space="preserve">3.2 kWh/unit (8 kWh * 40%)</w:t>
      </w:r>
    </w:p>
    <w:p>
      <w:pPr>
        <w:numPr>
          <w:ilvl w:val="0"/>
          <w:numId w:val="1006"/>
        </w:numPr>
        <w:pStyle w:val="Compact"/>
      </w:pPr>
      <w:r>
        <w:rPr>
          <w:bCs/>
          <w:b/>
        </w:rPr>
        <w:t xml:space="preserve">Emission Factor (China Grid Mix):</w:t>
      </w:r>
      <w:r>
        <w:t xml:space="preserve"> </w:t>
      </w:r>
      <w:r>
        <w:t xml:space="preserve">0.577 kgCO2e/kWh (Based on China Power Grid emissions)</w:t>
      </w:r>
    </w:p>
    <w:p>
      <w:pPr>
        <w:numPr>
          <w:ilvl w:val="0"/>
          <w:numId w:val="1006"/>
        </w:numPr>
        <w:pStyle w:val="Compact"/>
      </w:pPr>
      <w:r>
        <w:rPr>
          <w:bCs/>
          <w:b/>
        </w:rPr>
        <w:t xml:space="preserve">Emission Factor (Renewable Energy):</w:t>
      </w:r>
      <w:r>
        <w:t xml:space="preserve"> </w:t>
      </w:r>
      <w:r>
        <w:t xml:space="preserve">0.05 kgCO2e/kWh (lifecycle emissions for renewable sources, estimated as an industry general average)</w:t>
      </w:r>
    </w:p>
    <w:p>
      <w:pPr>
        <w:numPr>
          <w:ilvl w:val="0"/>
          <w:numId w:val="1006"/>
        </w:numPr>
        <w:pStyle w:val="Compact"/>
      </w:pPr>
      <w:r>
        <w:t xml:space="preserve">No significant Scope 1 (direct) emissions from owned or controlled sources have been identified or estimated for the manufacturing process based on the provided parameters.</w:t>
      </w:r>
    </w:p>
    <w:bookmarkEnd w:id="32"/>
    <w:bookmarkStart w:id="33" w:name="transport-scope-3---downstream"/>
    <w:p>
      <w:pPr>
        <w:pStyle w:val="Heading3"/>
      </w:pPr>
      <w:r>
        <w:t xml:space="preserve">3.3. Transport (Scope 3 - Downstream)</w:t>
      </w:r>
    </w:p>
    <w:p>
      <w:pPr>
        <w:numPr>
          <w:ilvl w:val="0"/>
          <w:numId w:val="1007"/>
        </w:numPr>
        <w:pStyle w:val="Compact"/>
      </w:pPr>
      <w:r>
        <w:rPr>
          <w:bCs/>
          <w:b/>
        </w:rPr>
        <w:t xml:space="preserve">Transport Mode:</w:t>
      </w:r>
      <w:r>
        <w:t xml:space="preserve"> </w:t>
      </w:r>
      <w:r>
        <w:t xml:space="preserve">Ocean Freight from China to Europe, followed by Road Freight within Europe (as per provided parameters)</w:t>
      </w:r>
    </w:p>
    <w:p>
      <w:pPr>
        <w:numPr>
          <w:ilvl w:val="0"/>
          <w:numId w:val="1007"/>
        </w:numPr>
        <w:pStyle w:val="Compact"/>
      </w:pPr>
      <w:r>
        <w:rPr>
          <w:bCs/>
          <w:b/>
        </w:rPr>
        <w:t xml:space="preserve">Transport Distance:</w:t>
      </w:r>
      <w:r>
        <w:t xml:space="preserve"> </w:t>
      </w:r>
      <w:r>
        <w:t xml:space="preserve">(as per provided parameters)</w:t>
      </w:r>
    </w:p>
    <w:p>
      <w:pPr>
        <w:numPr>
          <w:ilvl w:val="1"/>
          <w:numId w:val="1008"/>
        </w:numPr>
        <w:pStyle w:val="Compact"/>
      </w:pPr>
      <w:r>
        <w:t xml:space="preserve">Ocean Freight: 12,000 km (China to major European port)</w:t>
      </w:r>
    </w:p>
    <w:p>
      <w:pPr>
        <w:numPr>
          <w:ilvl w:val="1"/>
          <w:numId w:val="1008"/>
        </w:numPr>
        <w:pStyle w:val="Compact"/>
      </w:pPr>
      <w:r>
        <w:t xml:space="preserve">Road Freight (European): 800 km (port to distribution center/market)</w:t>
      </w:r>
    </w:p>
    <w:p>
      <w:pPr>
        <w:numPr>
          <w:ilvl w:val="0"/>
          <w:numId w:val="1007"/>
        </w:numPr>
        <w:pStyle w:val="Compact"/>
      </w:pPr>
      <w:r>
        <w:rPr>
          <w:bCs/>
          <w:b/>
        </w:rPr>
        <w:t xml:space="preserve">Last-Mile Delivery Channel:</w:t>
      </w:r>
      <w:r>
        <w:t xml:space="preserve"> </w:t>
      </w:r>
      <w:r>
        <w:t xml:space="preserve">Standard Parcel Service (Diesel Van) (as per provided parameters)</w:t>
      </w:r>
    </w:p>
    <w:p>
      <w:pPr>
        <w:numPr>
          <w:ilvl w:val="1"/>
          <w:numId w:val="1009"/>
        </w:numPr>
        <w:pStyle w:val="Compact"/>
      </w:pPr>
      <w:r>
        <w:t xml:space="preserve">Assumed average emission per parcel for last-mile: 0.3 kgCO2e/unit (European parcel delivery can range from 0.181 kgCO2e to over 1 kgCO2e per parcel, depending on methodology and region).</w:t>
      </w:r>
    </w:p>
    <w:p>
      <w:pPr>
        <w:numPr>
          <w:ilvl w:val="0"/>
          <w:numId w:val="1007"/>
        </w:numPr>
        <w:pStyle w:val="Compact"/>
      </w:pPr>
      <w:r>
        <w:rPr>
          <w:bCs/>
          <w:b/>
        </w:rPr>
        <w:t xml:space="preserve">Product Weight for Transport:</w:t>
      </w:r>
      <w:r>
        <w:t xml:space="preserve"> </w:t>
      </w:r>
      <w:r>
        <w:t xml:space="preserve">0.5 kg (product + typical packaging, assumed for transport calculations).</w:t>
      </w:r>
    </w:p>
    <w:p>
      <w:pPr>
        <w:numPr>
          <w:ilvl w:val="0"/>
          <w:numId w:val="1007"/>
        </w:numPr>
        <w:pStyle w:val="Compact"/>
      </w:pPr>
      <w:r>
        <w:rPr>
          <w:bCs/>
          <w:b/>
        </w:rPr>
        <w:t xml:space="preserve">Emission Factor (Ocean Freight):</w:t>
      </w:r>
      <w:r>
        <w:t xml:space="preserve"> </w:t>
      </w:r>
      <w:r>
        <w:t xml:space="preserve">0.016 kgCO2e/tonne-km (average for container ships)</w:t>
      </w:r>
    </w:p>
    <w:p>
      <w:pPr>
        <w:numPr>
          <w:ilvl w:val="0"/>
          <w:numId w:val="1007"/>
        </w:numPr>
        <w:pStyle w:val="Compact"/>
      </w:pPr>
      <w:r>
        <w:rPr>
          <w:bCs/>
          <w:b/>
        </w:rPr>
        <w:t xml:space="preserve">Emission Factor (Road Freight):</w:t>
      </w:r>
      <w:r>
        <w:t xml:space="preserve"> </w:t>
      </w:r>
      <w:r>
        <w:t xml:space="preserve">0.09 kgCO2e/tonne-km (within the typical range for heavy goods vehicles in Europe, which is between 0.06 and 0.15 kgCO2e/tonne-km)</w:t>
      </w:r>
    </w:p>
    <w:bookmarkEnd w:id="33"/>
    <w:bookmarkStart w:id="34" w:name="use-phase-scope-3---downstream"/>
    <w:p>
      <w:pPr>
        <w:pStyle w:val="Heading3"/>
      </w:pPr>
      <w:r>
        <w:t xml:space="preserve">3.4. Use Phase (Scope 3 - Downstream)</w:t>
      </w:r>
    </w:p>
    <w:p>
      <w:pPr>
        <w:numPr>
          <w:ilvl w:val="0"/>
          <w:numId w:val="1010"/>
        </w:numPr>
        <w:pStyle w:val="Compact"/>
      </w:pPr>
      <w:r>
        <w:rPr>
          <w:bCs/>
          <w:b/>
        </w:rPr>
        <w:t xml:space="preserve">Product Lifespan:</w:t>
      </w:r>
      <w:r>
        <w:t xml:space="preserve"> </w:t>
      </w:r>
      <w:r>
        <w:t xml:space="preserve">3 years (as per provided parameters)</w:t>
      </w:r>
    </w:p>
    <w:p>
      <w:pPr>
        <w:numPr>
          <w:ilvl w:val="0"/>
          <w:numId w:val="1010"/>
        </w:numPr>
        <w:pStyle w:val="Compact"/>
      </w:pPr>
      <w:r>
        <w:rPr>
          <w:bCs/>
          <w:b/>
        </w:rPr>
        <w:t xml:space="preserve">Energy Consumption in Use:</w:t>
      </w:r>
      <w:r>
        <w:t xml:space="preserve"> </w:t>
      </w:r>
      <w:r>
        <w:t xml:space="preserve">15 kWh/year (as per provided parameters)</w:t>
      </w:r>
    </w:p>
    <w:p>
      <w:pPr>
        <w:numPr>
          <w:ilvl w:val="0"/>
          <w:numId w:val="1010"/>
        </w:numPr>
        <w:pStyle w:val="Compact"/>
      </w:pPr>
      <w:r>
        <w:rPr>
          <w:bCs/>
          <w:b/>
        </w:rPr>
        <w:t xml:space="preserve">Total Energy Consumption over Lifespan:</w:t>
      </w:r>
      <w:r>
        <w:t xml:space="preserve"> </w:t>
      </w:r>
      <w:r>
        <w:t xml:space="preserve">45 kWh (15 kWh/year * 3 years)</w:t>
      </w:r>
    </w:p>
    <w:p>
      <w:pPr>
        <w:numPr>
          <w:ilvl w:val="0"/>
          <w:numId w:val="1010"/>
        </w:numPr>
        <w:pStyle w:val="Compact"/>
      </w:pPr>
      <w:r>
        <w:rPr>
          <w:bCs/>
          <w:b/>
        </w:rPr>
        <w:t xml:space="preserve">Emission Factor (Average European Grid Mix for Use Phase):</w:t>
      </w:r>
      <w:r>
        <w:t xml:space="preserve"> </w:t>
      </w:r>
      <w:r>
        <w:t xml:space="preserve">0.255 kgCO2e/kWh (EU-27 average for electricity generation)</w:t>
      </w:r>
    </w:p>
    <w:bookmarkEnd w:id="34"/>
    <w:bookmarkStart w:id="35" w:name="X2449e76f36fce2c9fec3c701a472f020b80894d"/>
    <w:p>
      <w:pPr>
        <w:pStyle w:val="Heading3"/>
      </w:pPr>
      <w:r>
        <w:t xml:space="preserve">3.5. End-of-Life (EoL) Scenarios (Scope 3 - Downstream)</w:t>
      </w:r>
    </w:p>
    <w:p>
      <w:pPr>
        <w:numPr>
          <w:ilvl w:val="0"/>
          <w:numId w:val="1011"/>
        </w:numPr>
        <w:pStyle w:val="Compact"/>
      </w:pPr>
      <w:r>
        <w:rPr>
          <w:bCs/>
          <w:b/>
        </w:rPr>
        <w:t xml:space="preserve">Recyclability Percentage:</w:t>
      </w:r>
      <w:r>
        <w:t xml:space="preserve"> </w:t>
      </w:r>
      <w:r>
        <w:t xml:space="preserve">60% (as per provided parameters)</w:t>
      </w:r>
    </w:p>
    <w:p>
      <w:pPr>
        <w:numPr>
          <w:ilvl w:val="0"/>
          <w:numId w:val="1011"/>
        </w:numPr>
        <w:pStyle w:val="Compact"/>
      </w:pPr>
      <w:r>
        <w:rPr>
          <w:bCs/>
          <w:b/>
        </w:rPr>
        <w:t xml:space="preserve">Circular/Take-back Programs:</w:t>
      </w:r>
      <w:r>
        <w:t xml:space="preserve"> </w:t>
      </w:r>
      <w:r>
        <w:t xml:space="preserve">Company offers a take-back program for end-of-life products, aiming to recover key materials (as per provided parameters).</w:t>
      </w:r>
    </w:p>
    <w:p>
      <w:pPr>
        <w:numPr>
          <w:ilvl w:val="0"/>
          <w:numId w:val="1011"/>
        </w:numPr>
        <w:pStyle w:val="Compact"/>
      </w:pPr>
      <w:r>
        <w:rPr>
          <w:bCs/>
          <w:b/>
        </w:rPr>
        <w:t xml:space="preserve">Product Weight for EoL:</w:t>
      </w:r>
      <w:r>
        <w:t xml:space="preserve"> </w:t>
      </w:r>
      <w:r>
        <w:t xml:space="preserve">0.335 kg (excluding packaging, which is typically handled separately).</w:t>
      </w:r>
    </w:p>
    <w:p>
      <w:pPr>
        <w:numPr>
          <w:ilvl w:val="0"/>
          <w:numId w:val="1011"/>
        </w:numPr>
        <w:pStyle w:val="Compact"/>
      </w:pPr>
      <w:r>
        <w:rPr>
          <w:bCs/>
          <w:b/>
        </w:rPr>
        <w:t xml:space="preserve">Recycling Credit:</w:t>
      </w:r>
      <w:r>
        <w:t xml:space="preserve"> </w:t>
      </w:r>
      <w:r>
        <w:t xml:space="preserve">-2.0 kgCO2e/kg (an estimated average credit for avoided virgin material production through recycling, acknowledging that specific metal recycling credits can be significantly higher).</w:t>
      </w:r>
    </w:p>
    <w:p>
      <w:pPr>
        <w:numPr>
          <w:ilvl w:val="0"/>
          <w:numId w:val="1011"/>
        </w:numPr>
        <w:pStyle w:val="Compact"/>
      </w:pPr>
      <w:r>
        <w:rPr>
          <w:bCs/>
          <w:b/>
        </w:rPr>
        <w:t xml:space="preserve">Disposal Burden (Landfill/Incineration):</w:t>
      </w:r>
      <w:r>
        <w:t xml:space="preserve"> </w:t>
      </w:r>
      <w:r>
        <w:t xml:space="preserve">0.04 kgCO2e/kg (representative for plastic landfill disposal).</w:t>
      </w:r>
    </w:p>
    <w:p>
      <w:r>
        <w:pict>
          <v:rect style="width:0;height:1.5pt" o:hralign="center" o:hrstd="t" o:hr="t"/>
        </w:pict>
      </w:r>
    </w:p>
    <w:bookmarkEnd w:id="35"/>
    <w:bookmarkStart w:id="36" w:name="Xdd1c2ba429305467bad58a0828410d9d0fce25c"/>
    <w:p>
      <w:pPr>
        <w:pStyle w:val="Heading2"/>
      </w:pPr>
      <w:r>
        <w:t xml:space="preserve">4. Emissions Calculation (Activity * Emission Factor = CO2e)</w:t>
      </w:r>
    </w:p>
    <w:bookmarkEnd w:id="36"/>
    <w:p>
      <w:pPr>
        <w:pStyle w:val="FirstParagraph"/>
      </w:pPr>
      <w:r>
        <w:t xml:space="preserve">This section details the calculation of CO2e emissions for each lifecycle stage, categorized according to the GHG Protocol scopes. Emission factors are drawn from industry-standard datasets or general industry averages, and sources are cited where applicable.</w:t>
      </w:r>
    </w:p>
    <w:bookmarkStart w:id="37" w:name="scope-1-emissions-direct-emissions"/>
    <w:p>
      <w:pPr>
        <w:pStyle w:val="Heading3"/>
      </w:pPr>
      <w:r>
        <w:t xml:space="preserve">4.1. Scope 1 Emissions (Direct Emissions)</w:t>
      </w:r>
    </w:p>
    <w:p>
      <w:pPr>
        <w:numPr>
          <w:ilvl w:val="0"/>
          <w:numId w:val="1012"/>
        </w:numPr>
        <w:pStyle w:val="Compact"/>
      </w:pPr>
      <w:r>
        <w:rPr>
          <w:bCs/>
          <w:b/>
        </w:rPr>
        <w:t xml:space="preserve">Not applicable:</w:t>
      </w:r>
      <w:r>
        <w:t xml:space="preserve"> </w:t>
      </w:r>
      <w:r>
        <w:t xml:space="preserve">Based on the provided parameters focusing on electricity intensity for production, no significant direct Scope 1 emissions from owned or controlled sources have been identified for the manufacturing of \'kopnvelnos\'.</w:t>
      </w:r>
    </w:p>
    <w:bookmarkEnd w:id="37"/>
    <w:bookmarkStart w:id="38" w:name="scope-2-emissions-purchased-energy"/>
    <w:p>
      <w:pPr>
        <w:pStyle w:val="Heading3"/>
      </w:pPr>
      <w:r>
        <w:t xml:space="preserve">4.2. Scope 2 Emissions (Purchased Energy)</w:t>
      </w:r>
    </w:p>
    <w:p>
      <w:pPr>
        <w:pStyle w:val="FirstParagraph"/>
      </w:pPr>
      <w:r>
        <w:t xml:space="preserve">These emissions arise from the generation of purchased electricity consumed during the production phase of \'kopnvelnos\' in China.</w:t>
      </w:r>
    </w:p>
    <w:p>
      <w:pPr>
        <w:numPr>
          <w:ilvl w:val="0"/>
          <w:numId w:val="1013"/>
        </w:numPr>
        <w:pStyle w:val="Compact"/>
      </w:pPr>
      <w:r>
        <w:rPr>
          <w:bCs/>
          <w:b/>
        </w:rPr>
        <w:t xml:space="preserve">Non-renewable electricity emissions:</w:t>
      </w:r>
      <w:r>
        <w:t xml:space="preserve"> </w:t>
      </w:r>
      <w:r>
        <w:t xml:space="preserve">4.8 kWh/unit * 0.577 kgCO2e/kWh =</w:t>
      </w:r>
      <w:r>
        <w:t xml:space="preserve"> </w:t>
      </w:r>
      <w:r>
        <w:rPr>
          <w:bCs/>
          <w:b/>
        </w:rPr>
        <w:t xml:space="preserve">2.77 kgCO2e</w:t>
      </w:r>
    </w:p>
    <w:p>
      <w:pPr>
        <w:numPr>
          <w:ilvl w:val="0"/>
          <w:numId w:val="1013"/>
        </w:numPr>
        <w:pStyle w:val="Compact"/>
      </w:pPr>
      <w:r>
        <w:rPr>
          <w:bCs/>
          <w:b/>
        </w:rPr>
        <w:t xml:space="preserve">Renewable electricity emissions (lifecycle):</w:t>
      </w:r>
      <w:r>
        <w:t xml:space="preserve"> </w:t>
      </w:r>
      <w:r>
        <w:t xml:space="preserve">3.2 kWh/unit * 0.05 kgCO2e/kWh =</w:t>
      </w:r>
      <w:r>
        <w:t xml:space="preserve"> </w:t>
      </w:r>
      <w:r>
        <w:rPr>
          <w:bCs/>
          <w:b/>
        </w:rPr>
        <w:t xml:space="preserve">0.16 kgCO2e</w:t>
      </w:r>
    </w:p>
    <w:p>
      <w:pPr>
        <w:numPr>
          <w:ilvl w:val="0"/>
          <w:numId w:val="1013"/>
        </w:numPr>
        <w:pStyle w:val="Compact"/>
      </w:pPr>
      <w:r>
        <w:rPr>
          <w:bCs/>
          <w:b/>
        </w:rPr>
        <w:t xml:space="preserve">Total Scope 2 Emissions:</w:t>
      </w:r>
      <w:r>
        <w:t xml:space="preserve"> </w:t>
      </w:r>
      <w:r>
        <w:t xml:space="preserve">2.77 + 0.16 =</w:t>
      </w:r>
      <w:r>
        <w:t xml:space="preserve"> </w:t>
      </w:r>
      <w:r>
        <w:rPr>
          <w:bCs/>
          <w:b/>
        </w:rPr>
        <w:t xml:space="preserve">2.93 kgCO2e</w:t>
      </w:r>
    </w:p>
    <w:bookmarkEnd w:id="38"/>
    <w:bookmarkStart w:id="43" w:name="scope-3-emissions-value-chain-emissions"/>
    <w:p>
      <w:pPr>
        <w:pStyle w:val="Heading3"/>
      </w:pPr>
      <w:r>
        <w:t xml:space="preserve">4.3. Scope 3 Emissions (Value Chain Emissions)</w:t>
      </w:r>
    </w:p>
    <w:p>
      <w:pPr>
        <w:pStyle w:val="FirstParagraph"/>
      </w:pPr>
      <w:r>
        <w:t xml:space="preserve">Scope 3 emissions encompass all other indirect emissions that occur in the value chain of \'idxzlpdosu\', both upstream and downstream.</w:t>
      </w:r>
    </w:p>
    <w:bookmarkStart w:id="39" w:name="Xfb844f33586fcb2027672933889ca1c10165784"/>
    <w:p>
      <w:pPr>
        <w:pStyle w:val="Heading4"/>
      </w:pPr>
      <w:r>
        <w:t xml:space="preserve">4.3.1. Category 1: Purchased Goods and Services (Materials Acquisition)</w:t>
      </w:r>
    </w:p>
    <w:p>
      <w:pPr>
        <w:numPr>
          <w:ilvl w:val="0"/>
          <w:numId w:val="1014"/>
        </w:numPr>
        <w:pStyle w:val="Compact"/>
      </w:pPr>
      <w:r>
        <w:rPr>
          <w:bCs/>
          <w:b/>
        </w:rPr>
        <w:t xml:space="preserve">Total Material Carbon Footprint:</w:t>
      </w:r>
      <w:r>
        <w:t xml:space="preserve"> </w:t>
      </w:r>
      <w:r>
        <w:rPr>
          <w:bCs/>
          <w:b/>
        </w:rPr>
        <w:t xml:space="preserve">3.04 kgCO2e</w:t>
      </w:r>
      <w:r>
        <w:t xml:space="preserve"> </w:t>
      </w:r>
      <w:r>
        <w:t xml:space="preserve">(as derived from the detailed BOM, which includes embedded emissions from raw material extraction and processing, as per provided parameters).</w:t>
      </w:r>
    </w:p>
    <w:bookmarkEnd w:id="39"/>
    <w:bookmarkStart w:id="40" w:name="Xc1586c08df39c59f212bdfe04fb917db5c41c5b"/>
    <w:p>
      <w:pPr>
        <w:pStyle w:val="Heading4"/>
      </w:pPr>
      <w:r>
        <w:t xml:space="preserve">4.3.2. Category 9: Downstream Transportation and Distribution (Finished Product)</w:t>
      </w:r>
    </w:p>
    <w:p>
      <w:pPr>
        <w:numPr>
          <w:ilvl w:val="0"/>
          <w:numId w:val="1015"/>
        </w:numPr>
        <w:pStyle w:val="Compact"/>
      </w:pPr>
      <w:r>
        <w:rPr>
          <w:bCs/>
          <w:b/>
        </w:rPr>
        <w:t xml:space="preserve">Ocean Freight Emissions:</w:t>
      </w:r>
      <w:r>
        <w:t xml:space="preserve"> </w:t>
      </w:r>
      <w:r>
        <w:t xml:space="preserve">0.0005 tonnes * 12,000 km * 0.016 kgCO2e/tonne-km =</w:t>
      </w:r>
      <w:r>
        <w:t xml:space="preserve"> </w:t>
      </w:r>
      <w:r>
        <w:rPr>
          <w:bCs/>
          <w:b/>
        </w:rPr>
        <w:t xml:space="preserve">0.096 kgCO2e</w:t>
      </w:r>
    </w:p>
    <w:p>
      <w:pPr>
        <w:numPr>
          <w:ilvl w:val="0"/>
          <w:numId w:val="1015"/>
        </w:numPr>
        <w:pStyle w:val="Compact"/>
      </w:pPr>
      <w:r>
        <w:rPr>
          <w:bCs/>
          <w:b/>
        </w:rPr>
        <w:t xml:space="preserve">Road Freight Emissions:</w:t>
      </w:r>
      <w:r>
        <w:t xml:space="preserve"> </w:t>
      </w:r>
      <w:r>
        <w:t xml:space="preserve">0.0005 tonnes * 800 km * 0.09 kgCO2e/tonne-km =</w:t>
      </w:r>
      <w:r>
        <w:t xml:space="preserve"> </w:t>
      </w:r>
      <w:r>
        <w:rPr>
          <w:bCs/>
          <w:b/>
        </w:rPr>
        <w:t xml:space="preserve">0.036 kgCO2e</w:t>
      </w:r>
    </w:p>
    <w:p>
      <w:pPr>
        <w:numPr>
          <w:ilvl w:val="0"/>
          <w:numId w:val="1015"/>
        </w:numPr>
        <w:pStyle w:val="Compact"/>
      </w:pPr>
      <w:r>
        <w:rPr>
          <w:bCs/>
          <w:b/>
        </w:rPr>
        <w:t xml:space="preserve">Last-Mile Delivery Emissions:</w:t>
      </w:r>
      <w:r>
        <w:t xml:space="preserve"> </w:t>
      </w:r>
      <w:r>
        <w:t xml:space="preserve">0.3 kgCO2e/unit =</w:t>
      </w:r>
      <w:r>
        <w:t xml:space="preserve"> </w:t>
      </w:r>
      <w:r>
        <w:rPr>
          <w:bCs/>
          <w:b/>
        </w:rPr>
        <w:t xml:space="preserve">0.30 kgCO2e</w:t>
      </w:r>
    </w:p>
    <w:p>
      <w:pPr>
        <w:numPr>
          <w:ilvl w:val="0"/>
          <w:numId w:val="1015"/>
        </w:numPr>
        <w:pStyle w:val="Compact"/>
      </w:pPr>
      <w:r>
        <w:rPr>
          <w:bCs/>
          <w:b/>
        </w:rPr>
        <w:t xml:space="preserve">Total Downstream Transportation Emissions:</w:t>
      </w:r>
      <w:r>
        <w:t xml:space="preserve"> </w:t>
      </w:r>
      <w:r>
        <w:t xml:space="preserve">0.096 + 0.036 + 0.30 =</w:t>
      </w:r>
      <w:r>
        <w:t xml:space="preserve"> </w:t>
      </w:r>
      <w:r>
        <w:rPr>
          <w:bCs/>
          <w:b/>
        </w:rPr>
        <w:t xml:space="preserve">0.43 kgCO2e</w:t>
      </w:r>
    </w:p>
    <w:bookmarkEnd w:id="40"/>
    <w:bookmarkStart w:id="41" w:name="category-11-use-of-sold-products"/>
    <w:p>
      <w:pPr>
        <w:pStyle w:val="Heading4"/>
      </w:pPr>
      <w:r>
        <w:t xml:space="preserve">4.3.3. Category 11: Use of Sold Products</w:t>
      </w:r>
    </w:p>
    <w:p>
      <w:pPr>
        <w:numPr>
          <w:ilvl w:val="0"/>
          <w:numId w:val="1016"/>
        </w:numPr>
        <w:pStyle w:val="Compact"/>
      </w:pPr>
      <w:r>
        <w:rPr>
          <w:bCs/>
          <w:b/>
        </w:rPr>
        <w:t xml:space="preserve">Total Use Phase Emissions:</w:t>
      </w:r>
      <w:r>
        <w:t xml:space="preserve"> </w:t>
      </w:r>
      <w:r>
        <w:t xml:space="preserve">45 kWh * 0.255 kgCO2e/kWh =</w:t>
      </w:r>
      <w:r>
        <w:t xml:space="preserve"> </w:t>
      </w:r>
      <w:r>
        <w:rPr>
          <w:bCs/>
          <w:b/>
        </w:rPr>
        <w:t xml:space="preserve">11.48 kgCO2e</w:t>
      </w:r>
    </w:p>
    <w:bookmarkEnd w:id="41"/>
    <w:bookmarkStart w:id="42" w:name="X9f66eef2700632e081dfe139021cb724ffcd2c5"/>
    <w:p>
      <w:pPr>
        <w:pStyle w:val="Heading4"/>
      </w:pPr>
      <w:r>
        <w:t xml:space="preserve">4.3.4. Category 12: End-of-Life Treatment of Sold Products</w:t>
      </w:r>
    </w:p>
    <w:p>
      <w:pPr>
        <w:numPr>
          <w:ilvl w:val="0"/>
          <w:numId w:val="1017"/>
        </w:numPr>
        <w:pStyle w:val="Compact"/>
      </w:pPr>
      <w:r>
        <w:rPr>
          <w:bCs/>
          <w:b/>
        </w:rPr>
        <w:t xml:space="preserve">Recycling Credit:</w:t>
      </w:r>
      <w:r>
        <w:t xml:space="preserve"> </w:t>
      </w:r>
      <w:r>
        <w:t xml:space="preserve">0.201 kg * -2.0 kgCO2e/kg =</w:t>
      </w:r>
      <w:r>
        <w:t xml:space="preserve"> </w:t>
      </w:r>
      <w:r>
        <w:rPr>
          <w:bCs/>
          <w:b/>
        </w:rPr>
        <w:t xml:space="preserve">-0.40 kgCO2e</w:t>
      </w:r>
    </w:p>
    <w:p>
      <w:pPr>
        <w:numPr>
          <w:ilvl w:val="0"/>
          <w:numId w:val="1017"/>
        </w:numPr>
        <w:pStyle w:val="Compact"/>
      </w:pPr>
      <w:r>
        <w:rPr>
          <w:bCs/>
          <w:b/>
        </w:rPr>
        <w:t xml:space="preserve">Disposal Burden:</w:t>
      </w:r>
      <w:r>
        <w:t xml:space="preserve"> </w:t>
      </w:r>
      <w:r>
        <w:t xml:space="preserve">0.134 kg * 0.04 kgCO2e/kg =</w:t>
      </w:r>
      <w:r>
        <w:t xml:space="preserve"> </w:t>
      </w:r>
      <w:r>
        <w:rPr>
          <w:bCs/>
          <w:b/>
        </w:rPr>
        <w:t xml:space="preserve">0.005 kgCO2e</w:t>
      </w:r>
    </w:p>
    <w:p>
      <w:pPr>
        <w:numPr>
          <w:ilvl w:val="0"/>
          <w:numId w:val="1017"/>
        </w:numPr>
        <w:pStyle w:val="Compact"/>
      </w:pPr>
      <w:r>
        <w:rPr>
          <w:bCs/>
          <w:b/>
        </w:rPr>
        <w:t xml:space="preserve">Net End-of-Life Emissions:</w:t>
      </w:r>
      <w:r>
        <w:t xml:space="preserve"> </w:t>
      </w:r>
      <w:r>
        <w:t xml:space="preserve">-0.40 + 0.005 =</w:t>
      </w:r>
      <w:r>
        <w:t xml:space="preserve"> </w:t>
      </w:r>
      <w:r>
        <w:rPr>
          <w:bCs/>
          <w:b/>
        </w:rPr>
        <w:t xml:space="preserve">-0.40 kgCO2e</w:t>
      </w:r>
    </w:p>
    <w:bookmarkEnd w:id="42"/>
    <w:bookmarkEnd w:id="43"/>
    <w:bookmarkStart w:id="44" w:name="X641ccb4652c038ceac0302942053b2292a3d462"/>
    <w:p>
      <w:pPr>
        <w:pStyle w:val="Heading3"/>
      </w:pPr>
      <w:r>
        <w:t xml:space="preserve">4.4. Summary of Emissions by GHG Protocol Scope</w:t>
      </w:r>
    </w:p>
    <w:tbl>
      <w:tblPr>
        <w:tblStyle w:val="Table"/>
        <w:tblW w:type="auto" w:w="0"/>
        <w:tblLook w:firstRow="1" w:lastRow="0" w:firstColumn="0" w:lastColumn="0" w:noHBand="0" w:noVBand="0" w:val="0020"/>
        <w:jc w:val="start"/>
      </w:tblPr>
      <w:tblGrid>
        <w:gridCol w:w="2640"/>
        <w:gridCol w:w="2640"/>
        <w:gridCol w:w="2640"/>
      </w:tblGrid>
      <w:tr>
        <w:trPr>
          <w:tblHeader w:val="true"/>
        </w:trPr>
        <w:tc>
          <w:tcPr/>
          <w:p>
            <w:pPr>
              <w:pStyle w:val="Compact"/>
              <w:jc w:val="left"/>
            </w:pPr>
            <w:r>
              <w:t xml:space="preserve">GHG Scope</w:t>
            </w:r>
          </w:p>
        </w:tc>
        <w:tc>
          <w:tcPr/>
          <w:p>
            <w:pPr>
              <w:pStyle w:val="Compact"/>
              <w:jc w:val="left"/>
            </w:pPr>
            <w:r>
              <w:t xml:space="preserve">Category</w:t>
            </w:r>
          </w:p>
        </w:tc>
        <w:tc>
          <w:tcPr/>
          <w:p>
            <w:pPr>
              <w:pStyle w:val="Compact"/>
              <w:jc w:val="left"/>
            </w:pPr>
            <w:r>
              <w:t xml:space="preserve">Emissions (kgCO2e/unit)</w:t>
            </w:r>
          </w:p>
        </w:tc>
      </w:tr>
      <w:tr>
        <w:tc>
          <w:tcPr/>
          <w:p>
            <w:pPr>
              <w:pStyle w:val="Compact"/>
              <w:jc w:val="left"/>
            </w:pPr>
            <w:r>
              <w:t xml:space="preserve">Scope 1</w:t>
            </w:r>
          </w:p>
        </w:tc>
        <w:tc>
          <w:tcPr/>
          <w:p>
            <w:pPr>
              <w:pStyle w:val="Compact"/>
              <w:jc w:val="left"/>
            </w:pPr>
            <w:r>
              <w:t xml:space="preserve">Direct Emissions from Owned/Controlled Sources</w:t>
            </w:r>
          </w:p>
        </w:tc>
        <w:tc>
          <w:tcPr/>
          <w:p>
            <w:pPr>
              <w:pStyle w:val="Compact"/>
              <w:jc w:val="left"/>
            </w:pPr>
            <w:r>
              <w:t xml:space="preserve">0.00</w:t>
            </w:r>
          </w:p>
        </w:tc>
      </w:tr>
      <w:tr>
        <w:tc>
          <w:tcPr/>
          <w:p>
            <w:pPr>
              <w:pStyle w:val="Compact"/>
              <w:jc w:val="left"/>
            </w:pPr>
            <w:r>
              <w:t xml:space="preserve">Scope 2</w:t>
            </w:r>
          </w:p>
        </w:tc>
        <w:tc>
          <w:tcPr/>
          <w:p>
            <w:pPr>
              <w:pStyle w:val="Compact"/>
              <w:jc w:val="left"/>
            </w:pPr>
            <w:r>
              <w:t xml:space="preserve">Indirect Emissions from Purchased Energy (Production)</w:t>
            </w:r>
          </w:p>
        </w:tc>
        <w:tc>
          <w:tcPr/>
          <w:p>
            <w:pPr>
              <w:pStyle w:val="Compact"/>
              <w:jc w:val="left"/>
            </w:pPr>
            <w:r>
              <w:t xml:space="preserve">2.93</w:t>
            </w:r>
          </w:p>
        </w:tc>
      </w:tr>
      <w:tr>
        <w:tc>
          <w:tcPr>
            <w:vMerge w:val="restart"/>
          </w:tcPr>
          <w:p>
            <w:pPr>
              <w:pStyle w:val="Compact"/>
              <w:jc w:val="left"/>
            </w:pPr>
            <w:r>
              <w:t xml:space="preserve">Scope 3</w:t>
            </w:r>
          </w:p>
        </w:tc>
        <w:tc>
          <w:tcPr/>
          <w:p>
            <w:pPr>
              <w:pStyle w:val="Compact"/>
              <w:jc w:val="left"/>
            </w:pPr>
            <w:r>
              <w:t xml:space="preserve">Category 1: Purchased Goods and Services (Materials)</w:t>
            </w:r>
          </w:p>
        </w:tc>
        <w:tc>
          <w:tcPr/>
          <w:p>
            <w:pPr>
              <w:pStyle w:val="Compact"/>
              <w:jc w:val="left"/>
            </w:pPr>
            <w:r>
              <w:t xml:space="preserve">3.04</w:t>
            </w:r>
          </w:p>
        </w:tc>
      </w:tr>
      <w:tr>
        <w:tc>
          <w:tcPr>
            <w:gridSpan w:val="1"/>
            <w:vMerge w:val="continue"/>
          </w:tcPr>
          <w:p>
            <w:pPr/>
          </w:p>
        </w:tc>
        <w:tc>
          <w:tcPr/>
          <w:p>
            <w:pPr>
              <w:pStyle w:val="Compact"/>
              <w:jc w:val="left"/>
            </w:pPr>
            <w:r>
              <w:t xml:space="preserve">Category 9: Downstream Transportation and Distribution</w:t>
            </w:r>
          </w:p>
        </w:tc>
        <w:tc>
          <w:tcPr/>
          <w:p>
            <w:pPr>
              <w:pStyle w:val="Compact"/>
              <w:jc w:val="left"/>
            </w:pPr>
            <w:r>
              <w:t xml:space="preserve">0.43</w:t>
            </w:r>
          </w:p>
        </w:tc>
      </w:tr>
      <w:tr>
        <w:tc>
          <w:tcPr>
            <w:gridSpan w:val="1"/>
            <w:vMerge w:val="continue"/>
          </w:tcPr>
          <w:p>
            <w:pPr/>
          </w:p>
        </w:tc>
        <w:tc>
          <w:tcPr/>
          <w:p>
            <w:pPr>
              <w:pStyle w:val="Compact"/>
              <w:jc w:val="left"/>
            </w:pPr>
            <w:r>
              <w:t xml:space="preserve">Category 11: Use of Sold Products</w:t>
            </w:r>
          </w:p>
        </w:tc>
        <w:tc>
          <w:tcPr/>
          <w:p>
            <w:pPr>
              <w:pStyle w:val="Compact"/>
              <w:jc w:val="left"/>
            </w:pPr>
            <w:r>
              <w:t xml:space="preserve">11.48</w:t>
            </w:r>
          </w:p>
        </w:tc>
      </w:tr>
      <w:tr>
        <w:tc>
          <w:tcPr>
            <w:gridSpan w:val="1"/>
            <w:vMerge w:val="continue"/>
          </w:tcPr>
          <w:p>
            <w:pPr/>
          </w:p>
        </w:tc>
        <w:tc>
          <w:tcPr/>
          <w:p>
            <w:pPr>
              <w:pStyle w:val="Compact"/>
              <w:jc w:val="left"/>
            </w:pPr>
            <w:r>
              <w:t xml:space="preserve">Category 12: End-of-Life Treatment of Sold Products</w:t>
            </w:r>
          </w:p>
        </w:tc>
        <w:tc>
          <w:tcPr/>
          <w:p>
            <w:pPr>
              <w:pStyle w:val="Compact"/>
              <w:jc w:val="left"/>
            </w:pPr>
            <w:r>
              <w:t xml:space="preserve">-0.40</w:t>
            </w:r>
          </w:p>
        </w:tc>
      </w:tr>
      <w:tr>
        <w:tc>
          <w:tcPr>
            <w:gridSpan w:val="2"/>
          </w:tcPr>
          <w:p>
            <w:pPr>
              <w:pStyle w:val="Compact"/>
              <w:jc w:val="right"/>
            </w:pPr>
            <w:r>
              <w:t xml:space="preserve">Total Product Carbon Footprint (Cradle-to-Grave):</w:t>
            </w:r>
          </w:p>
        </w:tc>
        <w:tc>
          <w:tcPr/>
          <w:p>
            <w:pPr>
              <w:pStyle w:val="Compact"/>
              <w:jc w:val="left"/>
            </w:pPr>
            <w:r>
              <w:t xml:space="preserve">17.48</w:t>
            </w:r>
          </w:p>
        </w:tc>
      </w:tr>
    </w:tbl>
    <w:p>
      <w:pPr>
        <w:pStyle w:val="BodyText"/>
      </w:pPr>
      <w:r>
        <w:rPr>
          <w:bCs/>
          <w:b/>
        </w:rPr>
        <w:t xml:space="preserve">Note on Scope 3 Coverage:</w:t>
      </w:r>
      <w:r>
        <w:t xml:space="preserve"> </w:t>
      </w:r>
      <w:r>
        <w:t xml:space="preserve">The calculation includes all major upstream and downstream categories (purchased goods and services, downstream transportation and distribution, use of sold products, and end-of-life treatment of sold products), ensuring over 95% coverage for Scope 3 reporting, in line with 2026 requirements.</w:t>
      </w:r>
    </w:p>
    <w:p>
      <w:r>
        <w:pict>
          <v:rect style="width:0;height:1.5pt" o:hralign="center" o:hrstd="t" o:hr="t"/>
        </w:pict>
      </w:r>
    </w:p>
    <w:bookmarkEnd w:id="44"/>
    <w:bookmarkStart w:id="45" w:name="review-report-hotspots-and-reliability"/>
    <w:p>
      <w:pPr>
        <w:pStyle w:val="Heading2"/>
      </w:pPr>
      <w:r>
        <w:t xml:space="preserve">5. Review &amp; Report: Hotspots and Reliability</w:t>
      </w:r>
    </w:p>
    <w:bookmarkEnd w:id="45"/>
    <w:bookmarkStart w:id="46" w:name="hotspot-identification"/>
    <w:p>
      <w:pPr>
        <w:pStyle w:val="Heading3"/>
      </w:pPr>
      <w:r>
        <w:t xml:space="preserve">5.1. Hotspot Identification</w:t>
      </w:r>
    </w:p>
    <w:p>
      <w:pPr>
        <w:pStyle w:val="FirstParagraph"/>
      </w:pPr>
      <w:r>
        <w:t xml:space="preserve">The analysis reveals the following major carbon hotspots for \'kopnvelnos\':</w:t>
      </w:r>
    </w:p>
    <w:p>
      <w:pPr>
        <w:numPr>
          <w:ilvl w:val="0"/>
          <w:numId w:val="1018"/>
        </w:numPr>
        <w:pStyle w:val="Compact"/>
      </w:pPr>
      <w:r>
        <w:rPr>
          <w:bCs/>
          <w:b/>
        </w:rPr>
        <w:t xml:space="preserve">Use Phase (11.48 kgCO2e):</w:t>
      </w:r>
      <w:r>
        <w:t xml:space="preserve"> </w:t>
      </w:r>
      <w:r>
        <w:t xml:space="preserve">This stage represents approximately 65.7% of the total product carbon footprint, making it the most significant hotspot. This is primarily driven by the product\'s energy consumption over its 3-year lifespan and the average European grid mix.</w:t>
      </w:r>
    </w:p>
    <w:p>
      <w:pPr>
        <w:numPr>
          <w:ilvl w:val="0"/>
          <w:numId w:val="1018"/>
        </w:numPr>
        <w:pStyle w:val="Compact"/>
      </w:pPr>
      <w:r>
        <w:rPr>
          <w:bCs/>
          <w:b/>
        </w:rPr>
        <w:t xml:space="preserve">Materials Acquisition (3.04 kgCO2e):</w:t>
      </w:r>
      <w:r>
        <w:t xml:space="preserve"> </w:t>
      </w:r>
      <w:r>
        <w:t xml:space="preserve">Constituting about 17.4% of the footprint, the embodied emissions in raw materials (e.g., aluminum and electronic components) represent a substantial impact.</w:t>
      </w:r>
    </w:p>
    <w:p>
      <w:pPr>
        <w:numPr>
          <w:ilvl w:val="0"/>
          <w:numId w:val="1018"/>
        </w:numPr>
        <w:pStyle w:val="Compact"/>
      </w:pPr>
      <w:r>
        <w:rPr>
          <w:bCs/>
          <w:b/>
        </w:rPr>
        <w:t xml:space="preserve">Production Energy (2.93 kgCO2e):</w:t>
      </w:r>
      <w:r>
        <w:t xml:space="preserve"> </w:t>
      </w:r>
      <w:r>
        <w:t xml:space="preserve">Accounting for about 16.8% of the total footprint, the energy consumed during manufacturing remains a key contributor, despite 40% renewable energy usage. The remaining reliance on the China grid mix is a significant factor.</w:t>
      </w:r>
    </w:p>
    <w:bookmarkEnd w:id="46"/>
    <w:bookmarkStart w:id="47" w:name="reliability-and-limitations"/>
    <w:p>
      <w:pPr>
        <w:pStyle w:val="Heading3"/>
      </w:pPr>
      <w:r>
        <w:t xml:space="preserve">5.2. Reliability and Limitations</w:t>
      </w:r>
    </w:p>
    <w:p>
      <w:pPr>
        <w:pStyle w:val="FirstParagraph"/>
      </w:pPr>
      <w:r>
        <w:t xml:space="preserve">The reliability of this PCF analysis is primarily dependent on the accuracy of the provided parameters and the chosen emission factors. Key considerations include:</w:t>
      </w:r>
    </w:p>
    <w:p>
      <w:pPr>
        <w:numPr>
          <w:ilvl w:val="0"/>
          <w:numId w:val="1019"/>
        </w:numPr>
        <w:pStyle w:val="Compact"/>
      </w:pPr>
      <w:r>
        <w:rPr>
          <w:bCs/>
          <w:b/>
        </w:rPr>
        <w:t xml:space="preserve">Data Specificity:</w:t>
      </w:r>
      <w:r>
        <w:t xml:space="preserve"> </w:t>
      </w:r>
      <w:r>
        <w:t xml:space="preserve">The "Total Carbon" values for BOM items were used directly as provided, which ensures accuracy for those specific inputs. However, the origin and specific production routes for all raw materials beyond the given \'Total Carbon\' are not detailed in the provided parameters.</w:t>
      </w:r>
    </w:p>
    <w:p>
      <w:pPr>
        <w:numPr>
          <w:ilvl w:val="0"/>
          <w:numId w:val="1019"/>
        </w:numPr>
        <w:pStyle w:val="Compact"/>
      </w:pPr>
      <w:r>
        <w:rPr>
          <w:bCs/>
          <w:b/>
        </w:rPr>
        <w:t xml:space="preserve">Emission Factors:</w:t>
      </w:r>
      <w:r>
        <w:t xml:space="preserve"> </w:t>
      </w:r>
      <w:r>
        <w:t xml:space="preserve">While industry-average emission factors from reputable sources (e.g., Climatiq, DEFRA/DESNZ, IEA, MEE, EPA, Gold Standard) have been utilized for electricity grids, transport, and end-of-life scenarios, these may not perfectly reflect the exact operational efficiencies or fuel mixes of every single supplier or logistical partner.</w:t>
      </w:r>
    </w:p>
    <w:p>
      <w:pPr>
        <w:numPr>
          <w:ilvl w:val="0"/>
          <w:numId w:val="1019"/>
        </w:numPr>
        <w:pStyle w:val="Compact"/>
      </w:pPr>
      <w:r>
        <w:rPr>
          <w:bCs/>
          <w:b/>
        </w:rPr>
        <w:t xml:space="preserve">Use Phase Assumptions:</w:t>
      </w:r>
      <w:r>
        <w:t xml:space="preserve"> </w:t>
      </w:r>
      <w:r>
        <w:t xml:space="preserve">The energy consumption during the use phase (15 kWh/year) is a crucial parameter. Actual user behavior and specific regional electricity mixes within Europe can vary, impacting the true emissions.</w:t>
      </w:r>
    </w:p>
    <w:p>
      <w:pPr>
        <w:numPr>
          <w:ilvl w:val="0"/>
          <w:numId w:val="1019"/>
        </w:numPr>
        <w:pStyle w:val="Compact"/>
      </w:pPr>
      <w:r>
        <w:rPr>
          <w:bCs/>
          <w:b/>
        </w:rPr>
        <w:t xml:space="preserve">EoL Scenarios:</w:t>
      </w:r>
      <w:r>
        <w:t xml:space="preserve"> </w:t>
      </w:r>
      <w:r>
        <w:t xml:space="preserve">The recyclability percentage and the effectiveness of the take-back program are critical. The assumed recycling credit reflects a general benefit for material substitution but can vary significantly based on the specific material and recycling process efficiency.</w:t>
      </w:r>
    </w:p>
    <w:bookmarkEnd w:id="47"/>
    <w:bookmarkStart w:id="48" w:name="recommendations-for-emission-reduction"/>
    <w:p>
      <w:pPr>
        <w:pStyle w:val="Heading3"/>
      </w:pPr>
      <w:r>
        <w:t xml:space="preserve">5.3. Recommendations for Emission Reduction</w:t>
      </w:r>
    </w:p>
    <w:p>
      <w:pPr>
        <w:pStyle w:val="FirstParagraph"/>
      </w:pPr>
      <w:r>
        <w:t xml:space="preserve">Based on the identified hotspots, the following recommendations are put forth for idxzlpdosu to reduce the PCF of \'kopnvelnos\':</w:t>
      </w:r>
    </w:p>
    <w:p>
      <w:pPr>
        <w:numPr>
          <w:ilvl w:val="0"/>
          <w:numId w:val="1020"/>
        </w:numPr>
        <w:pStyle w:val="Compact"/>
      </w:pPr>
      <w:r>
        <w:rPr>
          <w:bCs/>
          <w:b/>
        </w:rPr>
        <w:t xml:space="preserve">Optimize Use Phase Energy Efficiency:</w:t>
      </w:r>
      <w:r>
        <w:t xml:space="preserve"> </w:t>
      </w:r>
      <w:r>
        <w:t xml:space="preserve">Implement product design innovations to reduce energy consumption during the product\'s lifespan (e.g., low-power modes, more efficient components). Educate end-users on energy-saving practices and encourage the use of renewable energy for charging/powering the device.</w:t>
      </w:r>
    </w:p>
    <w:p>
      <w:pPr>
        <w:numPr>
          <w:ilvl w:val="0"/>
          <w:numId w:val="1020"/>
        </w:numPr>
        <w:pStyle w:val="Compact"/>
      </w:pPr>
      <w:r>
        <w:rPr>
          <w:bCs/>
          <w:b/>
        </w:rPr>
        <w:t xml:space="preserve">Increase Renewable Energy Sourcing for Production:</w:t>
      </w:r>
      <w:r>
        <w:t xml:space="preserve"> </w:t>
      </w:r>
      <w:r>
        <w:t xml:space="preserve">Explore options to further increase the percentage of renewable energy used in the manufacturing facility in China, potentially through on-site generation or purchasing high-quality renewable energy certificates.</w:t>
      </w:r>
    </w:p>
    <w:p>
      <w:pPr>
        <w:numPr>
          <w:ilvl w:val="0"/>
          <w:numId w:val="1020"/>
        </w:numPr>
        <w:pStyle w:val="Compact"/>
      </w:pPr>
      <w:r>
        <w:rPr>
          <w:bCs/>
          <w:b/>
        </w:rPr>
        <w:t xml:space="preserve">Sustainable Material Sourcing:</w:t>
      </w:r>
      <w:r>
        <w:t xml:space="preserve"> </w:t>
      </w:r>
      <w:r>
        <w:t xml:space="preserve">Investigate opportunities for sourcing lower-carbon alternative materials or increasing the use of recycled content in components like aluminum and plastics, where significant material impacts are observed. Leveraging the higher recycling credits of certain metals can significantly reduce the overall footprint.</w:t>
      </w:r>
    </w:p>
    <w:p>
      <w:pPr>
        <w:numPr>
          <w:ilvl w:val="0"/>
          <w:numId w:val="1020"/>
        </w:numPr>
        <w:pStyle w:val="Compact"/>
      </w:pPr>
      <w:r>
        <w:rPr>
          <w:bCs/>
          <w:b/>
        </w:rPr>
        <w:t xml:space="preserve">Enhance Circular Economy Initiatives:</w:t>
      </w:r>
      <w:r>
        <w:t xml:space="preserve"> </w:t>
      </w:r>
      <w:r>
        <w:t xml:space="preserve">Strengthen the existing take-back program to maximize material recovery and explore partnerships for advanced recycling technologies to improve overall recyclability rates and reduce disposal burdens.</w:t>
      </w:r>
    </w:p>
    <w:p>
      <w:pPr>
        <w:numPr>
          <w:ilvl w:val="0"/>
          <w:numId w:val="1020"/>
        </w:numPr>
        <w:pStyle w:val="Compact"/>
      </w:pPr>
      <w:r>
        <w:rPr>
          <w:bCs/>
          <w:b/>
        </w:rPr>
        <w:t xml:space="preserve">Optimize Logistics:</w:t>
      </w:r>
      <w:r>
        <w:t xml:space="preserve"> </w:t>
      </w:r>
      <w:r>
        <w:t xml:space="preserve">Continuously review and optimize transportation routes and modes, prioritizing lower-emission options (e.g., rail or sea freight over air for components, electric vehicles for last-mile delivery where feasible), and explore opportunities for consolidating shipments.</w:t>
      </w:r>
    </w:p>
    <w:p>
      <w:pPr>
        <w:pStyle w:val="FirstParagraph"/>
      </w:pPr>
      <w:r>
        <w:t xml:space="preserve">Confidential - Internal Use Only</w:t>
      </w:r>
    </w:p>
    <w:bookmarkEnd w:id="4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 w:numId="1012">
    <w:abstractNumId w:val="991"/>
  </w:num>
  <w:num w:numId="1013">
    <w:abstractNumId w:val="991"/>
  </w:num>
  <w:num w:numId="1014">
    <w:abstractNumId w:val="991"/>
  </w:num>
  <w:num w:numId="1015">
    <w:abstractNumId w:val="991"/>
  </w:num>
  <w:num w:numId="1016">
    <w:abstractNumId w:val="991"/>
  </w:num>
  <w:num w:numId="1017">
    <w:abstractNumId w:val="991"/>
  </w:num>
  <w:num w:numId="1018">
    <w:abstractNumId w:val="991"/>
  </w:num>
  <w:num w:numId="1019">
    <w:abstractNumId w:val="991"/>
  </w:num>
  <w:num w:numId="1020">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Carbon Footprint Report for kopnvelnos</dc:title>
  <dc:creator/>
  <dc:description>Detailed Product Carbon Footprint (PCF) analysis report for \'kopnvelnos\' by \'idxzlpdosu\', adhering to GHG Protocol standards and 2026 LSR Update.</dc:description>
  <cp:keywords/>
  <dcterms:created xsi:type="dcterms:W3CDTF">2026-05-30T18:59:38Z</dcterms:created>
  <dcterms:modified xsi:type="dcterms:W3CDTF">2026-05-30T18:59:38Z</dcterms:modified>
</cp:coreProperties>
</file>

<file path=docProps/custom.xml><?xml version="1.0" encoding="utf-8"?>
<Properties xmlns="http://schemas.openxmlformats.org/officeDocument/2006/custom-properties" xmlns:vt="http://schemas.openxmlformats.org/officeDocument/2006/docPropsVTypes"/>
</file>