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kohgpxhisf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kohgpxhisf</w:t>
      </w:r>
    </w:p>
    <w:p>
      <w:pPr>
        <w:pStyle w:val="BodyText"/>
      </w:pPr>
      <w:r>
        <w:rPr>
          <w:bCs/>
          <w:b/>
        </w:rPr>
        <w:t xml:space="preserve">Company Name:</w:t>
      </w:r>
      <w:r>
        <w:t xml:space="preserve"> </w:t>
      </w:r>
      <w:r>
        <w:t xml:space="preserve">mmyxdzrwgh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enqtflhirf</w:t>
      </w:r>
    </w:p>
    <w:p>
      <w:pPr>
        <w:pStyle w:val="BodyText"/>
      </w:pPr>
      <w:r>
        <w:t xml:space="preserve">Disclaimer: This report is generated based on available data and industry standards. While efforts have been made to ensure accuracy, the actual carbon footprint may vary depending on real-time operational data and specific supply chain nuances not fully captured by generalized emission factors.</w:t>
      </w:r>
    </w:p>
    <w:bookmarkEnd w:id="20"/>
    <w:p>
      <w:pPr>
        <w:pStyle w:val="BodyText"/>
      </w:pPr>
      <w:r>
        <w:t xml:space="preserve">Carbon Footprint Report - kohgpxhisf | Generated Date: May 16,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kohgpxhisf</w:t>
      </w:r>
      <w:r>
        <w:t xml:space="preserve">, manufactured by</w:t>
      </w:r>
      <w:r>
        <w:t xml:space="preserve"> </w:t>
      </w:r>
      <w:r>
        <w:rPr>
          <w:bCs/>
          <w:b/>
        </w:rPr>
        <w:t xml:space="preserve">mmyxdzrwgh</w:t>
      </w:r>
      <w:r>
        <w:t xml:space="preserve">. The analysis was conducted by</w:t>
      </w:r>
      <w:r>
        <w:t xml:space="preserve"> </w:t>
      </w:r>
      <w:r>
        <w:rPr>
          <w:bCs/>
          <w:b/>
        </w:rPr>
        <w:t xml:space="preserve">enqtflhirf</w:t>
      </w:r>
      <w:r>
        <w:t xml:space="preserve">, a Senior Sustainability Consultant specializing in GHG Protocol, to quantify greenhouse gas (GHG) emissions across the product\'s lifecycle. Adhering to the GHG Protocol, emissions are categorized into Scope 1 (direct), Scope 2 (purchased energy), and Scope 3 (value chain). Special attention has been given to the 2026 Land Sector and Removals (LSR) Standard update and ensuring at least 95% coverage for Scope 3 reporting.</w:t>
      </w:r>
    </w:p>
    <w:p>
      <w:pPr>
        <w:pStyle w:val="BodyText"/>
      </w:pPr>
      <w:r>
        <w:t xml:space="preserve">The total estimated Product Carbon Footprint for one functional unit of kohgpxhisf is calculated to be</w:t>
      </w:r>
      <w:r>
        <w:t xml:space="preserve"> </w:t>
      </w:r>
      <w:r>
        <w:rPr>
          <w:bCs/>
          <w:b/>
        </w:rPr>
        <w:t xml:space="preserve">141.69 kg CO2e</w:t>
      </w:r>
      <w:r>
        <w:t xml:space="preserve">. The primary hotspots identified are the Use Phase, followed by Raw Materials and Manufacturing, and then Transportation. Significant opportunities for reduction lie in optimizing product energy efficiency, sourcing lower-impact materials, and maximizing end-of-life circularity.</w:t>
      </w:r>
    </w:p>
    <w:p>
      <w:r>
        <w:pict>
          <v:rect style="width:0;height:1.5pt" o:hralign="center" o:hrstd="t" o:hr="t"/>
        </w:pict>
      </w:r>
    </w:p>
    <w:bookmarkEnd w:id="21"/>
    <w:bookmarkStart w:id="26" w:name="defining-the-scope-of-the-analysis"/>
    <w:p>
      <w:pPr>
        <w:pStyle w:val="Heading1"/>
      </w:pPr>
      <w:r>
        <w:t xml:space="preserve">1. Defining the Scope of the Analysis</w:t>
      </w:r>
    </w:p>
    <w:bookmarkStart w:id="22" w:name="functional-unit"/>
    <w:p>
      <w:pPr>
        <w:pStyle w:val="Heading2"/>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kohgpxhisf</w:t>
      </w:r>
      <w:r>
        <w:t xml:space="preserve">, providing its intended function over its estimated lifespan.</w:t>
      </w:r>
    </w:p>
    <w:bookmarkEnd w:id="22"/>
    <w:bookmarkStart w:id="23" w:name="system-boundaries"/>
    <w:p>
      <w:pPr>
        <w:pStyle w:val="Heading2"/>
      </w:pPr>
      <w:r>
        <w:t xml:space="preserve">1.2. System Boundaries</w:t>
      </w:r>
    </w:p>
    <w:p>
      <w:pPr>
        <w:pStyle w:val="FirstParagraph"/>
      </w:pPr>
      <w:r>
        <w:t xml:space="preserve">While the initial system boundary for production is set at "factory_gate", the comprehensive analysis extends to a</w:t>
      </w:r>
      <w:r>
        <w:t xml:space="preserve"> </w:t>
      </w:r>
      <w:r>
        <w:rPr>
          <w:bCs/>
          <w:b/>
        </w:rPr>
        <w:t xml:space="preserve">Cradle-to-Grave</w:t>
      </w:r>
      <w:r>
        <w:t xml:space="preserve"> </w:t>
      </w:r>
      <w:r>
        <w:t xml:space="preserve">scope to capture all significant lifecycle impacts, as per the detailed parameters provided. This includes:</w:t>
      </w:r>
    </w:p>
    <w:p>
      <w:pPr>
        <w:numPr>
          <w:ilvl w:val="0"/>
          <w:numId w:val="1001"/>
        </w:numPr>
        <w:pStyle w:val="Compact"/>
      </w:pPr>
      <w:r>
        <w:rPr>
          <w:bCs/>
          <w:b/>
        </w:rPr>
        <w:t xml:space="preserve">Raw Materials Acquisition:</w:t>
      </w:r>
      <w:r>
        <w:t xml:space="preserve"> </w:t>
      </w:r>
      <w:r>
        <w:t xml:space="preserve">Extraction and processing of all materials comprising the product.</w:t>
      </w:r>
    </w:p>
    <w:p>
      <w:pPr>
        <w:numPr>
          <w:ilvl w:val="0"/>
          <w:numId w:val="1001"/>
        </w:numPr>
        <w:pStyle w:val="Compact"/>
      </w:pPr>
      <w:r>
        <w:rPr>
          <w:bCs/>
          <w:b/>
        </w:rPr>
        <w:t xml:space="preserve">Manufacturing:</w:t>
      </w:r>
      <w:r>
        <w:t xml:space="preserve"> </w:t>
      </w:r>
      <w:r>
        <w:t xml:space="preserve">Production processes at the mmyxdzrwgh factory in China.</w:t>
      </w:r>
    </w:p>
    <w:p>
      <w:pPr>
        <w:numPr>
          <w:ilvl w:val="0"/>
          <w:numId w:val="1001"/>
        </w:numPr>
        <w:pStyle w:val="Compact"/>
      </w:pPr>
      <w:r>
        <w:rPr>
          <w:bCs/>
          <w:b/>
        </w:rPr>
        <w:t xml:space="preserve">Transportation (Upstream &amp; Downstream):</w:t>
      </w:r>
      <w:r>
        <w:t xml:space="preserve"> </w:t>
      </w:r>
      <w:r>
        <w:t xml:space="preserve">Inbound logistics of raw materials from Europe to China, and outbound logistics of the finished product from China to the European market, including last-mile delivery.</w:t>
      </w:r>
    </w:p>
    <w:p>
      <w:pPr>
        <w:numPr>
          <w:ilvl w:val="0"/>
          <w:numId w:val="1001"/>
        </w:numPr>
        <w:pStyle w:val="Compact"/>
      </w:pPr>
      <w:r>
        <w:rPr>
          <w:bCs/>
          <w:b/>
        </w:rPr>
        <w:t xml:space="preserve">Use Phase:</w:t>
      </w:r>
      <w:r>
        <w:t xml:space="preserve"> </w:t>
      </w:r>
      <w:r>
        <w:t xml:space="preserve">Energy consumption during the product\'s active use over its lifespan.</w:t>
      </w:r>
    </w:p>
    <w:p>
      <w:pPr>
        <w:numPr>
          <w:ilvl w:val="0"/>
          <w:numId w:val="1001"/>
        </w:numPr>
        <w:pStyle w:val="Compact"/>
      </w:pPr>
      <w:r>
        <w:rPr>
          <w:bCs/>
          <w:b/>
        </w:rPr>
        <w:t xml:space="preserve">End-of-Life (EoL):</w:t>
      </w:r>
      <w:r>
        <w:t xml:space="preserve"> </w:t>
      </w:r>
      <w:r>
        <w:t xml:space="preserve">Disposal and recycling processes at the end of the product\'s useful life.</w:t>
      </w:r>
    </w:p>
    <w:bookmarkEnd w:id="23"/>
    <w:bookmarkStart w:id="24" w:name="geographic-scope"/>
    <w:p>
      <w:pPr>
        <w:pStyle w:val="Heading2"/>
      </w:pPr>
      <w:r>
        <w:t xml:space="preserve">1.3. Geographic Scope</w:t>
      </w:r>
    </w:p>
    <w:p>
      <w:pPr>
        <w:pStyle w:val="FirstParagraph"/>
      </w:pPr>
      <w:r>
        <w:t xml:space="preserve">The final production country for</w:t>
      </w:r>
      <w:r>
        <w:t xml:space="preserve"> </w:t>
      </w:r>
      <w:r>
        <w:rPr>
          <w:bCs/>
          <w:b/>
        </w:rPr>
        <w:t xml:space="preserve">kohgpxhisf</w:t>
      </w:r>
      <w:r>
        <w:t xml:space="preserve"> </w:t>
      </w:r>
      <w:r>
        <w:t xml:space="preserve">is</w:t>
      </w:r>
      <w:r>
        <w:t xml:space="preserve"> </w:t>
      </w:r>
      <w:r>
        <w:rPr>
          <w:bCs/>
          <w:b/>
        </w:rPr>
        <w:t xml:space="preserve">China</w:t>
      </w:r>
      <w:r>
        <w:t xml:space="preserve">. The supply chain focus, particularly for raw materials and the market for the finished product, is centered on</w:t>
      </w:r>
      <w:r>
        <w:t xml:space="preserve"> </w:t>
      </w:r>
      <w:r>
        <w:rPr>
          <w:bCs/>
          <w:b/>
        </w:rPr>
        <w:t xml:space="preserve">Europe</w:t>
      </w:r>
      <w:r>
        <w:t xml:space="preserve">.</w:t>
      </w:r>
    </w:p>
    <w:bookmarkEnd w:id="24"/>
    <w:bookmarkStart w:id="25" w:name="allocation"/>
    <w:p>
      <w:pPr>
        <w:pStyle w:val="Heading2"/>
      </w:pPr>
      <w:r>
        <w:t xml:space="preserve">1.4. Allocation</w:t>
      </w:r>
    </w:p>
    <w:p>
      <w:pPr>
        <w:pStyle w:val="FirstParagraph"/>
      </w:pPr>
      <w:r>
        <w:t xml:space="preserve">For this single product PCF, direct allocation methods are applied to assign all relevant environmental impacts directly to the functional unit. No significant co-product allocation challenges are identified for this specific analysis.</w:t>
      </w:r>
    </w:p>
    <w:p>
      <w:r>
        <w:pict>
          <v:rect style="width:0;height:1.5pt" o:hralign="center" o:hrstd="t" o:hr="t"/>
        </w:pict>
      </w:r>
    </w:p>
    <w:bookmarkEnd w:id="25"/>
    <w:bookmarkEnd w:id="26"/>
    <w:bookmarkStart w:id="32" w:name="X39ec1593ae73d08d61a9ad56c64265c4154c9a7"/>
    <w:p>
      <w:pPr>
        <w:pStyle w:val="Heading1"/>
      </w:pPr>
      <w:r>
        <w:t xml:space="preserve">2. Mapping the Lifecycle &amp; 3. Collecting Data (LCI Inventory)</w:t>
      </w:r>
    </w:p>
    <w:p>
      <w:pPr>
        <w:pStyle w:val="FirstParagraph"/>
      </w:pPr>
      <w:r>
        <w:t xml:space="preserve">This section details the inventory of materials and energy inputs across the product\'s lifecycle stages. Placeholder values have been replaced with plausible estimates and widely recognized industry-standard emission factors from sources such as Ecoinvent and DEFRA where primary data was not provided.</w:t>
      </w:r>
    </w:p>
    <w:bookmarkStart w:id="27" w:name="raw-materials-acquisition"/>
    <w:p>
      <w:pPr>
        <w:pStyle w:val="Heading2"/>
      </w:pPr>
      <w:r>
        <w:t xml:space="preserve">3.1. Raw Materials Acquisition</w:t>
      </w:r>
    </w:p>
    <w:p>
      <w:pPr>
        <w:pStyle w:val="FirstParagraph"/>
      </w:pPr>
      <w:r>
        <w:t xml:space="preserve">The Detailed Bill of Materials (BOM) for</w:t>
      </w:r>
      <w:r>
        <w:t xml:space="preserve"> </w:t>
      </w:r>
      <w:r>
        <w:rPr>
          <w:bCs/>
          <w:b/>
        </w:rPr>
        <w:t xml:space="preserve">kohgpxhisf</w:t>
      </w:r>
      <w:r>
        <w:t xml:space="preserve"> </w:t>
      </w:r>
      <w:r>
        <w:t xml:space="preserve">(originally denoted as `wlhlvmrj`) is critical for an accurate material impact assessment. The following table provides a breakdown of materials, quantities, assumed processes, and their associated cradle-to-gate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or unit)</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4.52</w:t>
            </w:r>
          </w:p>
        </w:tc>
        <w:tc>
          <w:tcPr/>
          <w:p>
            <w:pPr>
              <w:pStyle w:val="Compact"/>
              <w:jc w:val="left"/>
            </w:pPr>
            <w:r>
              <w:t xml:space="preserve">1.582</w:t>
            </w:r>
          </w:p>
        </w:tc>
      </w:tr>
      <w:tr>
        <w:tc>
          <w:tcPr/>
          <w:p>
            <w:pPr>
              <w:pStyle w:val="Compact"/>
              <w:jc w:val="left"/>
            </w:pPr>
            <w:r>
              <w:t xml:space="preserve">M2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0.350</w:t>
            </w:r>
          </w:p>
        </w:tc>
      </w:tr>
      <w:tr>
        <w:tc>
          <w:tcPr/>
          <w:p>
            <w:pPr>
              <w:pStyle w:val="Compact"/>
              <w:jc w:val="left"/>
            </w:pPr>
            <w:r>
              <w:t xml:space="preserve">M3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 (Primary)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M4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 (Assembled PCBA)</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5.00 (Estimated for assembled unit)</w:t>
            </w:r>
          </w:p>
        </w:tc>
        <w:tc>
          <w:tcPr/>
          <w:p>
            <w:pPr>
              <w:pStyle w:val="Compact"/>
              <w:jc w:val="left"/>
            </w:pPr>
            <w:r>
              <w:t xml:space="preserve">5.000</w:t>
            </w:r>
          </w:p>
        </w:tc>
      </w:tr>
      <w:tr>
        <w:tc>
          <w:tcPr/>
          <w:p>
            <w:pPr>
              <w:pStyle w:val="Compact"/>
              <w:jc w:val="left"/>
            </w:pPr>
            <w:r>
              <w:t xml:space="preserve">M5</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0.040</w:t>
            </w:r>
          </w:p>
        </w:tc>
      </w:tr>
      <w:tr>
        <w:tc>
          <w:tcPr/>
          <w:p>
            <w:pPr>
              <w:pStyle w:val="Compact"/>
              <w:jc w:val="left"/>
            </w:pPr>
            <w:r>
              <w:t xml:space="preserve">M6</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 (Material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1.250</w:t>
            </w:r>
          </w:p>
        </w:tc>
      </w:tr>
      <w:tr>
        <w:tc>
          <w:tcPr>
            <w:gridSpan w:val="4"/>
          </w:tcPr>
          <w:p>
            <w:pPr>
              <w:pStyle w:val="Compact"/>
              <w:jc w:val="left"/>
            </w:pPr>
            <w:r>
              <w:rPr>
                <w:bCs/>
                <w:b/>
              </w:rPr>
              <w:t xml:space="preserve">Total Raw Materials CO2e</w:t>
            </w:r>
          </w:p>
        </w:tc>
        <w:tc>
          <w:tcPr/>
          <w:p>
            <w:pPr>
              <w:pStyle w:val="Compact"/>
              <w:jc w:val="left"/>
            </w:pPr>
            <w:r>
              <w:rPr>
                <w:bCs/>
                <w:b/>
              </w:rPr>
              <w:t xml:space="preserve">0.67</w:t>
            </w:r>
          </w:p>
        </w:tc>
        <w:tc>
          <w:tcPr/>
          <w:p>
            <w:pPr>
              <w:pStyle w:val="Compact"/>
              <w:jc w:val="left"/>
            </w:pPr>
            <w:r>
              <w:rPr>
                <w:bCs/>
                <w:b/>
              </w:rPr>
              <w:t xml:space="preserve">kg (approx. product weight)</w:t>
            </w:r>
          </w:p>
        </w:tc>
        <w:tc>
          <w:tcPr/>
          <w:p>
            <w:pPr>
              <w:pStyle w:val="Compact"/>
            </w:pPr>
          </w:p>
        </w:tc>
        <w:tc>
          <w:tcPr/>
          <w:p>
            <w:pPr>
              <w:pStyle w:val="Compact"/>
              <w:jc w:val="left"/>
            </w:pPr>
            <w:r>
              <w:rPr>
                <w:bCs/>
                <w:b/>
              </w:rPr>
              <w:t xml:space="preserve">8.722</w:t>
            </w:r>
          </w:p>
        </w:tc>
      </w:tr>
    </w:tbl>
    <w:p>
      <w:pPr>
        <w:pStyle w:val="BodyText"/>
      </w:pPr>
      <w:r>
        <w:t xml:space="preserve">Note: Emission factors for materials are approximate and can vary significantly based on specific origin, production process efficiency, and recycled content. The PCB emission factor is an estimate for an assembled unit.</w:t>
      </w:r>
    </w:p>
    <w:bookmarkEnd w:id="27"/>
    <w:bookmarkStart w:id="28" w:name="manufacturing-phase-mmyxdzrwgh-china"/>
    <w:p>
      <w:pPr>
        <w:pStyle w:val="Heading2"/>
      </w:pPr>
      <w:r>
        <w:t xml:space="preserve">3.2. Manufacturing Phase (mmyxdzrwgh, China)</w:t>
      </w:r>
    </w:p>
    <w:p>
      <w:pPr>
        <w:numPr>
          <w:ilvl w:val="0"/>
          <w:numId w:val="1002"/>
        </w:numPr>
        <w:pStyle w:val="Compact"/>
      </w:pPr>
      <w:r>
        <w:rPr>
          <w:bCs/>
          <w:b/>
        </w:rPr>
        <w:t xml:space="preserve">Energy Intensity (kWh/unit):</w:t>
      </w:r>
      <w:r>
        <w:t xml:space="preserve"> </w:t>
      </w:r>
      <w:r>
        <w:t xml:space="preserve">`xxqnkdgxsi` (Assumed: 15 kWh/unit)</w:t>
      </w:r>
    </w:p>
    <w:p>
      <w:pPr>
        <w:numPr>
          <w:ilvl w:val="0"/>
          <w:numId w:val="1002"/>
        </w:numPr>
        <w:pStyle w:val="Compact"/>
      </w:pPr>
      <w:r>
        <w:rPr>
          <w:bCs/>
          <w:b/>
        </w:rPr>
        <w:t xml:space="preserve">Renewable Energy Usage:</w:t>
      </w:r>
      <w:r>
        <w:t xml:space="preserve"> </w:t>
      </w:r>
      <w:r>
        <w:t xml:space="preserve">`kzxwhsrill` (Assumed: 50%)</w:t>
      </w:r>
    </w:p>
    <w:p>
      <w:pPr>
        <w:numPr>
          <w:ilvl w:val="0"/>
          <w:numId w:val="1002"/>
        </w:numPr>
        <w:pStyle w:val="Compact"/>
      </w:pPr>
      <w:r>
        <w:rPr>
          <w:bCs/>
          <w:b/>
        </w:rPr>
        <w:t xml:space="preserve">Non-Renewable Electricity (China Grid):</w:t>
      </w:r>
      <w:r>
        <w:t xml:space="preserve"> </w:t>
      </w:r>
      <w:r>
        <w:t xml:space="preserve">7.5 kWh/unit (50% of 15 kWh)</w:t>
      </w:r>
    </w:p>
    <w:p>
      <w:pPr>
        <w:numPr>
          <w:ilvl w:val="0"/>
          <w:numId w:val="1002"/>
        </w:numPr>
        <w:pStyle w:val="Compact"/>
      </w:pPr>
      <w:r>
        <w:rPr>
          <w:bCs/>
          <w:b/>
        </w:rPr>
        <w:t xml:space="preserve">China Grid Emission Factor:</w:t>
      </w:r>
      <w:r>
        <w:t xml:space="preserve"> </w:t>
      </w:r>
      <w:r>
        <w:t xml:space="preserve">0.7 kg CO2e/kWh</w:t>
      </w:r>
    </w:p>
    <w:p>
      <w:pPr>
        <w:numPr>
          <w:ilvl w:val="0"/>
          <w:numId w:val="1002"/>
        </w:numPr>
        <w:pStyle w:val="Compact"/>
      </w:pPr>
      <w:r>
        <w:rPr>
          <w:bCs/>
          <w:b/>
        </w:rPr>
        <w:t xml:space="preserve">Renewable Electricity Emissions:</w:t>
      </w:r>
      <w:r>
        <w:t xml:space="preserve"> </w:t>
      </w:r>
      <w:r>
        <w:t xml:space="preserve">0 kg CO2e (assuming certified zero-emission sources)</w:t>
      </w:r>
    </w:p>
    <w:bookmarkEnd w:id="28"/>
    <w:bookmarkStart w:id="29" w:name="transportation-logistics"/>
    <w:p>
      <w:pPr>
        <w:pStyle w:val="Heading2"/>
      </w:pPr>
      <w:r>
        <w:t xml:space="preserve">3.3. Transportation Logistics</w:t>
      </w:r>
    </w:p>
    <w:p>
      <w:pPr>
        <w:pStyle w:val="FirstParagraph"/>
      </w:pPr>
      <w:r>
        <w:t xml:space="preserve">The product\'s supply chain is Europe-focused, with final production in China. For calculation purposes, we assume an average product weight of</w:t>
      </w:r>
      <w:r>
        <w:t xml:space="preserve"> </w:t>
      </w:r>
      <w:r>
        <w:rPr>
          <w:bCs/>
          <w:b/>
        </w:rPr>
        <w:t xml:space="preserve">0.7 kg</w:t>
      </w:r>
      <w:r>
        <w:t xml:space="preserve"> </w:t>
      </w:r>
      <w:r>
        <w:t xml:space="preserve">for transport.</w:t>
      </w:r>
    </w:p>
    <w:p>
      <w:pPr>
        <w:numPr>
          <w:ilvl w:val="0"/>
          <w:numId w:val="1003"/>
        </w:numPr>
        <w:pStyle w:val="Compact"/>
      </w:pPr>
      <w:r>
        <w:rPr>
          <w:bCs/>
          <w:b/>
        </w:rPr>
        <w:t xml:space="preserve">Inbound Transport (Raw Materials, Europe to China):</w:t>
      </w:r>
    </w:p>
    <w:p>
      <w:pPr>
        <w:numPr>
          <w:ilvl w:val="1"/>
          <w:numId w:val="1004"/>
        </w:numPr>
        <w:pStyle w:val="Compact"/>
      </w:pPr>
      <w:r>
        <w:rPr>
          <w:bCs/>
          <w:b/>
        </w:rPr>
        <w:t xml:space="preserve">Mode:</w:t>
      </w:r>
      <w:r>
        <w:t xml:space="preserve"> </w:t>
      </w:r>
      <w:r>
        <w:t xml:space="preserve">Ocean Freight (`Select Mode`)</w:t>
      </w:r>
    </w:p>
    <w:p>
      <w:pPr>
        <w:numPr>
          <w:ilvl w:val="1"/>
          <w:numId w:val="1004"/>
        </w:numPr>
        <w:pStyle w:val="Compact"/>
      </w:pPr>
      <w:r>
        <w:rPr>
          <w:bCs/>
          <w:b/>
        </w:rPr>
        <w:t xml:space="preserve">Distance:</w:t>
      </w:r>
      <w:r>
        <w:t xml:space="preserve"> </w:t>
      </w:r>
      <w:r>
        <w:t xml:space="preserve">Assumed 15,000 km (Europe to China)</w:t>
      </w:r>
    </w:p>
    <w:p>
      <w:pPr>
        <w:numPr>
          <w:ilvl w:val="1"/>
          <w:numId w:val="1004"/>
        </w:numPr>
        <w:pStyle w:val="Compact"/>
      </w:pPr>
      <w:r>
        <w:rPr>
          <w:bCs/>
          <w:b/>
        </w:rPr>
        <w:t xml:space="preserve">Emission Factor (Ocean Freight):</w:t>
      </w:r>
      <w:r>
        <w:t xml:space="preserve"> </w:t>
      </w:r>
      <w:r>
        <w:t xml:space="preserve">0.016 kg CO2e/tonne-km (0.000016 kg CO2e/kg-km)</w:t>
      </w:r>
    </w:p>
    <w:p>
      <w:pPr>
        <w:numPr>
          <w:ilvl w:val="1"/>
          <w:numId w:val="1004"/>
        </w:numPr>
        <w:pStyle w:val="Compact"/>
      </w:pPr>
      <w:r>
        <w:rPr>
          <w:bCs/>
          <w:b/>
        </w:rPr>
        <w:t xml:space="preserve">Road Freight (within China, port to factory):</w:t>
      </w:r>
      <w:r>
        <w:t xml:space="preserve"> </w:t>
      </w:r>
      <w:r>
        <w:t xml:space="preserve">Assumed 500 km</w:t>
      </w:r>
    </w:p>
    <w:p>
      <w:pPr>
        <w:numPr>
          <w:ilvl w:val="1"/>
          <w:numId w:val="1004"/>
        </w:numPr>
        <w:pStyle w:val="Compact"/>
      </w:pPr>
      <w:r>
        <w:rPr>
          <w:bCs/>
          <w:b/>
        </w:rPr>
        <w:t xml:space="preserve">Emission Factor (Road Freight HGV):</w:t>
      </w:r>
      <w:r>
        <w:t xml:space="preserve"> </w:t>
      </w:r>
      <w:r>
        <w:t xml:space="preserve">0.1 kg CO2e/tonne-km (0.0001 kg CO2e/kg-km)</w:t>
      </w:r>
    </w:p>
    <w:p>
      <w:pPr>
        <w:numPr>
          <w:ilvl w:val="0"/>
          <w:numId w:val="1003"/>
        </w:numPr>
        <w:pStyle w:val="Compact"/>
      </w:pPr>
      <w:r>
        <w:rPr>
          <w:bCs/>
          <w:b/>
        </w:rPr>
        <w:t xml:space="preserve">Outbound Transport (Finished Product, China to Europe):</w:t>
      </w:r>
    </w:p>
    <w:p>
      <w:pPr>
        <w:numPr>
          <w:ilvl w:val="1"/>
          <w:numId w:val="1005"/>
        </w:numPr>
        <w:pStyle w:val="Compact"/>
      </w:pPr>
      <w:r>
        <w:rPr>
          <w:bCs/>
          <w:b/>
        </w:rPr>
        <w:t xml:space="preserve">Mode:</w:t>
      </w:r>
      <w:r>
        <w:t xml:space="preserve"> </w:t>
      </w:r>
      <w:r>
        <w:t xml:space="preserve">Ocean Freight (`Select Mode`)</w:t>
      </w:r>
    </w:p>
    <w:p>
      <w:pPr>
        <w:numPr>
          <w:ilvl w:val="1"/>
          <w:numId w:val="1005"/>
        </w:numPr>
        <w:pStyle w:val="Compact"/>
      </w:pPr>
      <w:r>
        <w:rPr>
          <w:bCs/>
          <w:b/>
        </w:rPr>
        <w:t xml:space="preserve">Distance:</w:t>
      </w:r>
      <w:r>
        <w:t xml:space="preserve"> </w:t>
      </w:r>
      <w:r>
        <w:t xml:space="preserve">Assumed 15,000 km (China to Europe)</w:t>
      </w:r>
    </w:p>
    <w:p>
      <w:pPr>
        <w:numPr>
          <w:ilvl w:val="1"/>
          <w:numId w:val="1005"/>
        </w:numPr>
        <w:pStyle w:val="Compact"/>
      </w:pPr>
      <w:r>
        <w:rPr>
          <w:bCs/>
          <w:b/>
        </w:rPr>
        <w:t xml:space="preserve">Emission Factor (Ocean Freight):</w:t>
      </w:r>
      <w:r>
        <w:t xml:space="preserve"> </w:t>
      </w:r>
      <w:r>
        <w:t xml:space="preserve">0.016 kg CO2e/tonne-km (0.000016 kg CO2e/kg-km)</w:t>
      </w:r>
    </w:p>
    <w:p>
      <w:pPr>
        <w:numPr>
          <w:ilvl w:val="1"/>
          <w:numId w:val="1005"/>
        </w:numPr>
        <w:pStyle w:val="Compact"/>
      </w:pPr>
      <w:r>
        <w:rPr>
          <w:bCs/>
          <w:b/>
        </w:rPr>
        <w:t xml:space="preserve">Road Freight (within Europe, port to distribution):</w:t>
      </w:r>
      <w:r>
        <w:t xml:space="preserve"> </w:t>
      </w:r>
      <w:r>
        <w:t xml:space="preserve">`ddnvkuvdot` (Assumed 1500 km)</w:t>
      </w:r>
    </w:p>
    <w:p>
      <w:pPr>
        <w:numPr>
          <w:ilvl w:val="1"/>
          <w:numId w:val="1005"/>
        </w:numPr>
        <w:pStyle w:val="Compact"/>
      </w:pPr>
      <w:r>
        <w:rPr>
          <w:bCs/>
          <w:b/>
        </w:rPr>
        <w:t xml:space="preserve">Emission Factor (Road Freight HGV):</w:t>
      </w:r>
      <w:r>
        <w:t xml:space="preserve"> </w:t>
      </w:r>
      <w:r>
        <w:t xml:space="preserve">0.1 kg CO2e/tonne-km (0.0001 kg CO2e/kg-km)</w:t>
      </w:r>
    </w:p>
    <w:p>
      <w:pPr>
        <w:numPr>
          <w:ilvl w:val="0"/>
          <w:numId w:val="1003"/>
        </w:numPr>
        <w:pStyle w:val="Compact"/>
      </w:pPr>
      <w:r>
        <w:rPr>
          <w:bCs/>
          <w:b/>
        </w:rPr>
        <w:t xml:space="preserve">Last-Mile Delivery (within Europe):</w:t>
      </w:r>
    </w:p>
    <w:p>
      <w:pPr>
        <w:numPr>
          <w:ilvl w:val="1"/>
          <w:numId w:val="1006"/>
        </w:numPr>
        <w:pStyle w:val="Compact"/>
      </w:pPr>
      <w:r>
        <w:rPr>
          <w:bCs/>
          <w:b/>
        </w:rPr>
        <w:t xml:space="preserve">Channel:</w:t>
      </w:r>
      <w:r>
        <w:t xml:space="preserve"> </w:t>
      </w:r>
      <w:r>
        <w:t xml:space="preserve">`Delivery Type` (Assumed Road Freight - Light Commercial Vehicle)</w:t>
      </w:r>
    </w:p>
    <w:p>
      <w:pPr>
        <w:numPr>
          <w:ilvl w:val="1"/>
          <w:numId w:val="1006"/>
        </w:numPr>
        <w:pStyle w:val="Compact"/>
      </w:pPr>
      <w:r>
        <w:rPr>
          <w:bCs/>
          <w:b/>
        </w:rPr>
        <w:t xml:space="preserve">Distance:</w:t>
      </w:r>
      <w:r>
        <w:t xml:space="preserve"> </w:t>
      </w:r>
      <w:r>
        <w:t xml:space="preserve">Assumed 100 km</w:t>
      </w:r>
    </w:p>
    <w:p>
      <w:pPr>
        <w:numPr>
          <w:ilvl w:val="1"/>
          <w:numId w:val="1006"/>
        </w:numPr>
        <w:pStyle w:val="Compact"/>
      </w:pPr>
      <w:r>
        <w:rPr>
          <w:bCs/>
          <w:b/>
        </w:rPr>
        <w:t xml:space="preserve">Emission Factor (Road Freight LCV):</w:t>
      </w:r>
      <w:r>
        <w:t xml:space="preserve"> </w:t>
      </w:r>
      <w:r>
        <w:t xml:space="preserve">0.3 kg CO2e/tonne-km (0.0003 kg CO2e/kg-km)</w:t>
      </w:r>
    </w:p>
    <w:bookmarkEnd w:id="29"/>
    <w:bookmarkStart w:id="30" w:name="use-phase"/>
    <w:p>
      <w:pPr>
        <w:pStyle w:val="Heading2"/>
      </w:pPr>
      <w:r>
        <w:t xml:space="preserve">3.4. Use Phase</w:t>
      </w:r>
    </w:p>
    <w:p>
      <w:pPr>
        <w:numPr>
          <w:ilvl w:val="0"/>
          <w:numId w:val="1007"/>
        </w:numPr>
        <w:pStyle w:val="Compact"/>
      </w:pPr>
      <w:r>
        <w:rPr>
          <w:bCs/>
          <w:b/>
        </w:rPr>
        <w:t xml:space="preserve">Product Lifespan:</w:t>
      </w:r>
      <w:r>
        <w:t xml:space="preserve"> </w:t>
      </w:r>
      <w:r>
        <w:t xml:space="preserve">`qrvofzmedi` (Assumed: 5 years)</w:t>
      </w:r>
    </w:p>
    <w:p>
      <w:pPr>
        <w:numPr>
          <w:ilvl w:val="0"/>
          <w:numId w:val="1007"/>
        </w:numPr>
        <w:pStyle w:val="Compact"/>
      </w:pPr>
      <w:r>
        <w:rPr>
          <w:bCs/>
          <w:b/>
        </w:rPr>
        <w:t xml:space="preserve">Energy Consumption in Use:</w:t>
      </w:r>
      <w:r>
        <w:t xml:space="preserve"> </w:t>
      </w:r>
      <w:r>
        <w:t xml:space="preserve">`sqgsfxqnqu` (Assumed: 100 kWh/year)</w:t>
      </w:r>
    </w:p>
    <w:p>
      <w:pPr>
        <w:numPr>
          <w:ilvl w:val="0"/>
          <w:numId w:val="1007"/>
        </w:numPr>
        <w:pStyle w:val="Compact"/>
      </w:pPr>
      <w:r>
        <w:rPr>
          <w:bCs/>
          <w:b/>
        </w:rPr>
        <w:t xml:space="preserve">Total Energy Consumption over Lifespan:</w:t>
      </w:r>
      <w:r>
        <w:t xml:space="preserve"> </w:t>
      </w:r>
      <w:r>
        <w:t xml:space="preserve">500 kWh (100 kWh/year * 5 years)</w:t>
      </w:r>
    </w:p>
    <w:p>
      <w:pPr>
        <w:numPr>
          <w:ilvl w:val="0"/>
          <w:numId w:val="1007"/>
        </w:numPr>
        <w:pStyle w:val="Compact"/>
      </w:pPr>
      <w:r>
        <w:rPr>
          <w:bCs/>
          <w:b/>
        </w:rPr>
        <w:t xml:space="preserve">Assumed Use-Phase Grid (Europe Average):</w:t>
      </w:r>
      <w:r>
        <w:t xml:space="preserve"> </w:t>
      </w:r>
      <w:r>
        <w:t xml:space="preserve">0.25 kg CO2e/kWh</w:t>
      </w:r>
    </w:p>
    <w:bookmarkEnd w:id="30"/>
    <w:bookmarkStart w:id="31" w:name="end-of-life-eol-scenarios"/>
    <w:p>
      <w:pPr>
        <w:pStyle w:val="Heading2"/>
      </w:pPr>
      <w:r>
        <w:t xml:space="preserve">3.5. End-of-Life (EoL) Scenarios</w:t>
      </w:r>
    </w:p>
    <w:p>
      <w:pPr>
        <w:numPr>
          <w:ilvl w:val="0"/>
          <w:numId w:val="1008"/>
        </w:numPr>
        <w:pStyle w:val="Compact"/>
      </w:pPr>
      <w:r>
        <w:rPr>
          <w:bCs/>
          <w:b/>
        </w:rPr>
        <w:t xml:space="preserve">Recyclability Percentage:</w:t>
      </w:r>
      <w:r>
        <w:t xml:space="preserve"> </w:t>
      </w:r>
      <w:r>
        <w:t xml:space="preserve">`kptzvztmlm` (Assumed: 80%)</w:t>
      </w:r>
    </w:p>
    <w:p>
      <w:pPr>
        <w:numPr>
          <w:ilvl w:val="0"/>
          <w:numId w:val="1008"/>
        </w:numPr>
        <w:pStyle w:val="Compact"/>
      </w:pPr>
      <w:r>
        <w:rPr>
          <w:bCs/>
          <w:b/>
        </w:rPr>
        <w:t xml:space="preserve">Circular/Take-back Programs:</w:t>
      </w:r>
      <w:r>
        <w:t xml:space="preserve"> </w:t>
      </w:r>
      <w:r>
        <w:t xml:space="preserve">`wxsgrzhsfi` (Assumed: Company-operated take-back scheme with material recovery)</w:t>
      </w:r>
    </w:p>
    <w:p>
      <w:pPr>
        <w:numPr>
          <w:ilvl w:val="0"/>
          <w:numId w:val="1008"/>
        </w:numPr>
        <w:pStyle w:val="Compact"/>
      </w:pPr>
      <w:r>
        <w:rPr>
          <w:bCs/>
          <w:b/>
        </w:rPr>
        <w:t xml:space="preserve">Waste to Landfill:</w:t>
      </w:r>
      <w:r>
        <w:t xml:space="preserve"> </w:t>
      </w:r>
      <w:r>
        <w:t xml:space="preserve">20% of product weight (0.7 kg * 0.20 = 0.14 kg)</w:t>
      </w:r>
    </w:p>
    <w:p>
      <w:pPr>
        <w:numPr>
          <w:ilvl w:val="0"/>
          <w:numId w:val="1008"/>
        </w:numPr>
        <w:pStyle w:val="Compact"/>
      </w:pPr>
      <w:r>
        <w:rPr>
          <w:bCs/>
          <w:b/>
        </w:rPr>
        <w:t xml:space="preserve">Landfill Emission Factor:</w:t>
      </w:r>
      <w:r>
        <w:t xml:space="preserve"> </w:t>
      </w:r>
      <w:r>
        <w:t xml:space="preserve">Assumed 0.2 kg CO2e/kg waste</w:t>
      </w:r>
    </w:p>
    <w:p>
      <w:pPr>
        <w:numPr>
          <w:ilvl w:val="0"/>
          <w:numId w:val="1008"/>
        </w:numPr>
        <w:pStyle w:val="Compact"/>
      </w:pPr>
      <w:r>
        <w:rPr>
          <w:bCs/>
          <w:b/>
        </w:rPr>
        <w:t xml:space="preserve">Recycling Benefits:</w:t>
      </w:r>
      <w:r>
        <w:t xml:space="preserve"> </w:t>
      </w:r>
      <w:r>
        <w:t xml:space="preserve">Based on avoided virgin material production.</w:t>
      </w:r>
    </w:p>
    <w:p>
      <w:r>
        <w:pict>
          <v:rect style="width:0;height:1.5pt" o:hralign="center" o:hrstd="t" o:hr="t"/>
        </w:pict>
      </w:r>
    </w:p>
    <w:bookmarkEnd w:id="31"/>
    <w:bookmarkEnd w:id="32"/>
    <w:bookmarkStart w:id="47" w:name="calculation-of-emissions-co2e"/>
    <w:p>
      <w:pPr>
        <w:pStyle w:val="Heading1"/>
      </w:pPr>
      <w:r>
        <w:t xml:space="preserve">4. Calculation of Emissions (CO2e)</w:t>
      </w:r>
    </w:p>
    <w:p>
      <w:pPr>
        <w:pStyle w:val="FirstParagraph"/>
      </w:pPr>
      <w:r>
        <w:t xml:space="preserve">Emissions are calculated for each life cycle stage and categorized according to the GHG Protocol.</w:t>
      </w:r>
    </w:p>
    <w:bookmarkStart w:id="33" w:name="scope-1-emissions-direct-emissions"/>
    <w:p>
      <w:pPr>
        <w:pStyle w:val="Heading2"/>
      </w:pPr>
      <w:r>
        <w:t xml:space="preserve">4.1. Scope 1 Emissions (Direct Emissions)</w:t>
      </w:r>
    </w:p>
    <w:p>
      <w:pPr>
        <w:pStyle w:val="FirstParagraph"/>
      </w:pPr>
      <w:r>
        <w:t xml:space="preserve">For a product carbon footprint, Scope 1 emissions primarily relate to direct emissions from manufacturing facilities (e.g., fuel combustion for on-site processes not covered by purchased energy). In this analysis, specific direct combustion emissions from the factory are not provided and are assumed to be negligible or accounted for within upstream material/energy factors, or primarily via Scope 2 if using on-site generation. Therefore, direct Scope 1 emissions for the product unit are estimated at</w:t>
      </w:r>
      <w:r>
        <w:t xml:space="preserve"> </w:t>
      </w:r>
      <w:r>
        <w:rPr>
          <w:bCs/>
          <w:b/>
        </w:rPr>
        <w:t xml:space="preserve">0.00 kg CO2e</w:t>
      </w:r>
      <w:r>
        <w:t xml:space="preserve">.</w:t>
      </w:r>
    </w:p>
    <w:bookmarkEnd w:id="33"/>
    <w:bookmarkStart w:id="34" w:name="scope-2-emissions-purchased-energy"/>
    <w:p>
      <w:pPr>
        <w:pStyle w:val="Heading2"/>
      </w:pPr>
      <w:r>
        <w:t xml:space="preserve">4.2. Scope 2 Emissions (Purchased Energy)</w:t>
      </w:r>
    </w:p>
    <w:p>
      <w:pPr>
        <w:pStyle w:val="FirstParagraph"/>
      </w:pPr>
      <w:r>
        <w:t xml:space="preserve">These emissions arise from the generation of purchased electricity consumed during the manufacturing of</w:t>
      </w:r>
      <w:r>
        <w:t xml:space="preserve"> </w:t>
      </w:r>
      <w:r>
        <w:rPr>
          <w:bCs/>
          <w:b/>
        </w:rPr>
        <w:t xml:space="preserve">kohgpxhisf</w:t>
      </w:r>
      <w:r>
        <w:t xml:space="preserve"> </w:t>
      </w:r>
      <w:r>
        <w:t xml:space="preserve">in China.</w:t>
      </w:r>
    </w:p>
    <w:p>
      <w:pPr>
        <w:numPr>
          <w:ilvl w:val="0"/>
          <w:numId w:val="1009"/>
        </w:numPr>
        <w:pStyle w:val="Compact"/>
      </w:pPr>
      <w:r>
        <w:t xml:space="preserve">Non-renewable electricity consumed: 7.5 kWh/unit</w:t>
      </w:r>
    </w:p>
    <w:p>
      <w:pPr>
        <w:numPr>
          <w:ilvl w:val="0"/>
          <w:numId w:val="1009"/>
        </w:numPr>
        <w:pStyle w:val="Compact"/>
      </w:pPr>
      <w:r>
        <w:t xml:space="preserve">China Grid Emission Factor: 0.7 kg CO2e/kWh</w:t>
      </w:r>
    </w:p>
    <w:p>
      <w:pPr>
        <w:numPr>
          <w:ilvl w:val="0"/>
          <w:numId w:val="1009"/>
        </w:numPr>
        <w:pStyle w:val="Compact"/>
      </w:pPr>
      <w:r>
        <w:rPr>
          <w:bCs/>
          <w:b/>
        </w:rPr>
        <w:t xml:space="preserve">Scope 2 Emissions = 7.5 kWh/unit * 0.7 kg CO2e/kWh = 5.25 kg CO2e</w:t>
      </w:r>
    </w:p>
    <w:bookmarkEnd w:id="34"/>
    <w:bookmarkStart w:id="42" w:name="scope-3-emissions-value-chain-emissions"/>
    <w:p>
      <w:pPr>
        <w:pStyle w:val="Heading2"/>
      </w:pPr>
      <w:r>
        <w:t xml:space="preserve">4.3. Scope 3 Emissions (Value Chain Emissions)</w:t>
      </w:r>
    </w:p>
    <w:p>
      <w:pPr>
        <w:pStyle w:val="FirstParagraph"/>
      </w:pPr>
      <w:r>
        <w:t xml:space="preserve">Scope 3 emissions represent the vast majority of the product\'s footprint, covering upstream and downstream activities.</w:t>
      </w:r>
    </w:p>
    <w:bookmarkStart w:id="37" w:name="upstream-emissions-categories-1-8"/>
    <w:p>
      <w:pPr>
        <w:pStyle w:val="Heading3"/>
      </w:pPr>
      <w:r>
        <w:t xml:space="preserve">4.3.1. Upstream Emissions (Categories 1-8)</w:t>
      </w:r>
    </w:p>
    <w:bookmarkStart w:id="35" w:name="X6b4bede62eec6fea496134e3f9fa1b231ac088b"/>
    <w:p>
      <w:pPr>
        <w:pStyle w:val="Heading4"/>
      </w:pPr>
      <w:r>
        <w:t xml:space="preserve">Category 1: Purchased Goods and Services (Raw Materials)</w:t>
      </w:r>
    </w:p>
    <w:p>
      <w:pPr>
        <w:numPr>
          <w:ilvl w:val="0"/>
          <w:numId w:val="1010"/>
        </w:numPr>
        <w:pStyle w:val="Compact"/>
      </w:pPr>
      <w:r>
        <w:t xml:space="preserve">Total Raw Materials CO2e (from BOM):</w:t>
      </w:r>
      <w:r>
        <w:t xml:space="preserve"> </w:t>
      </w:r>
      <w:r>
        <w:rPr>
          <w:bCs/>
          <w:b/>
        </w:rPr>
        <w:t xml:space="preserve">8.722 kg CO2e</w:t>
      </w:r>
    </w:p>
    <w:bookmarkEnd w:id="35"/>
    <w:bookmarkStart w:id="36" w:name="X6669a43143349c25ec93e775eebde43de53a73c"/>
    <w:p>
      <w:pPr>
        <w:pStyle w:val="Heading4"/>
      </w:pPr>
      <w:r>
        <w:t xml:space="preserve">Category 4: Upstream Transportation and Distribution</w:t>
      </w:r>
    </w:p>
    <w:p>
      <w:pPr>
        <w:numPr>
          <w:ilvl w:val="0"/>
          <w:numId w:val="1011"/>
        </w:numPr>
        <w:pStyle w:val="Compact"/>
      </w:pPr>
      <w:r>
        <w:t xml:space="preserve">Product Weight for Transport: 0.7 kg</w:t>
      </w:r>
    </w:p>
    <w:p>
      <w:pPr>
        <w:numPr>
          <w:ilvl w:val="0"/>
          <w:numId w:val="1011"/>
        </w:numPr>
        <w:pStyle w:val="Compact"/>
      </w:pPr>
      <w:r>
        <w:t xml:space="preserve">Inbound Ocean Freight (Europe to China): 0.7 kg * 15,000 km * 0.000016 kg CO2e/kg-km = 0.168 kg CO2e</w:t>
      </w:r>
    </w:p>
    <w:p>
      <w:pPr>
        <w:numPr>
          <w:ilvl w:val="0"/>
          <w:numId w:val="1011"/>
        </w:numPr>
        <w:pStyle w:val="Compact"/>
      </w:pPr>
      <w:r>
        <w:t xml:space="preserve">Inbound Road Freight (China): 0.7 kg * 500 km * 0.0001 kg CO2e/kg-km = 0.035 kg CO2e</w:t>
      </w:r>
    </w:p>
    <w:p>
      <w:pPr>
        <w:numPr>
          <w:ilvl w:val="0"/>
          <w:numId w:val="1011"/>
        </w:numPr>
        <w:pStyle w:val="Compact"/>
      </w:pPr>
      <w:r>
        <w:rPr>
          <w:bCs/>
          <w:b/>
        </w:rPr>
        <w:t xml:space="preserve">Total Upstream Transport Emissions = 0.168 + 0.035 = 0.203 kg CO2e</w:t>
      </w:r>
    </w:p>
    <w:bookmarkEnd w:id="36"/>
    <w:bookmarkEnd w:id="37"/>
    <w:bookmarkStart w:id="41" w:name="downstream-emissions-categories-9-15"/>
    <w:p>
      <w:pPr>
        <w:pStyle w:val="Heading3"/>
      </w:pPr>
      <w:r>
        <w:t xml:space="preserve">4.3.2. Downstream Emissions (Categories 9-15)</w:t>
      </w:r>
    </w:p>
    <w:bookmarkStart w:id="38" w:name="X25a0837e2ca53a982bfb6f58a50970139f4f25f"/>
    <w:p>
      <w:pPr>
        <w:pStyle w:val="Heading4"/>
      </w:pPr>
      <w:r>
        <w:t xml:space="preserve">Category 9: Downstream Transportation and Distribution</w:t>
      </w:r>
    </w:p>
    <w:p>
      <w:pPr>
        <w:numPr>
          <w:ilvl w:val="0"/>
          <w:numId w:val="1012"/>
        </w:numPr>
        <w:pStyle w:val="Compact"/>
      </w:pPr>
      <w:r>
        <w:t xml:space="preserve">Product Weight for Transport: 0.7 kg</w:t>
      </w:r>
    </w:p>
    <w:p>
      <w:pPr>
        <w:numPr>
          <w:ilvl w:val="0"/>
          <w:numId w:val="1012"/>
        </w:numPr>
        <w:pStyle w:val="Compact"/>
      </w:pPr>
      <w:r>
        <w:t xml:space="preserve">Outbound Ocean Freight (China to Europe): 0.7 kg * 15,000 km * 0.000016 kg CO2e/kg-km = 0.168 kg CO2e</w:t>
      </w:r>
    </w:p>
    <w:p>
      <w:pPr>
        <w:numPr>
          <w:ilvl w:val="0"/>
          <w:numId w:val="1012"/>
        </w:numPr>
        <w:pStyle w:val="Compact"/>
      </w:pPr>
      <w:r>
        <w:t xml:space="preserve">Outbound Road Freight (Europe): 0.7 kg * 1500 km * 0.0001 kg CO2e/kg-km = 0.105 kg CO2e</w:t>
      </w:r>
    </w:p>
    <w:p>
      <w:pPr>
        <w:numPr>
          <w:ilvl w:val="0"/>
          <w:numId w:val="1012"/>
        </w:numPr>
        <w:pStyle w:val="Compact"/>
      </w:pPr>
      <w:r>
        <w:t xml:space="preserve">Last-Mile Delivery (Europe, LCV): 0.7 kg * 100 km * 0.0003 kg CO2e/kg-km = 0.021 kg CO2e</w:t>
      </w:r>
    </w:p>
    <w:p>
      <w:pPr>
        <w:numPr>
          <w:ilvl w:val="0"/>
          <w:numId w:val="1012"/>
        </w:numPr>
        <w:pStyle w:val="Compact"/>
      </w:pPr>
      <w:r>
        <w:rPr>
          <w:bCs/>
          <w:b/>
        </w:rPr>
        <w:t xml:space="preserve">Total Downstream Transport Emissions = 0.168 + 0.105 + 0.021 = 0.294 kg CO2e</w:t>
      </w:r>
    </w:p>
    <w:bookmarkEnd w:id="38"/>
    <w:bookmarkStart w:id="39" w:name="category-11-use-of-sold-products"/>
    <w:p>
      <w:pPr>
        <w:pStyle w:val="Heading4"/>
      </w:pPr>
      <w:r>
        <w:t xml:space="preserve">Category 11: Use of Sold Products</w:t>
      </w:r>
    </w:p>
    <w:p>
      <w:pPr>
        <w:numPr>
          <w:ilvl w:val="0"/>
          <w:numId w:val="1013"/>
        </w:numPr>
        <w:pStyle w:val="Compact"/>
      </w:pPr>
      <w:r>
        <w:t xml:space="preserve">Total Energy Consumption over Lifespan: 500 kWh</w:t>
      </w:r>
    </w:p>
    <w:p>
      <w:pPr>
        <w:numPr>
          <w:ilvl w:val="0"/>
          <w:numId w:val="1013"/>
        </w:numPr>
        <w:pStyle w:val="Compact"/>
      </w:pPr>
      <w:r>
        <w:t xml:space="preserve">European Grid Emission Factor: 0.25 kg CO2e/kWh</w:t>
      </w:r>
    </w:p>
    <w:p>
      <w:pPr>
        <w:numPr>
          <w:ilvl w:val="0"/>
          <w:numId w:val="1013"/>
        </w:numPr>
        <w:pStyle w:val="Compact"/>
      </w:pPr>
      <w:r>
        <w:rPr>
          <w:bCs/>
          <w:b/>
        </w:rPr>
        <w:t xml:space="preserve">Use Phase Emissions = 500 kWh * 0.25 kg CO2e/kWh = 125.00 kg CO2e</w:t>
      </w:r>
    </w:p>
    <w:bookmarkEnd w:id="39"/>
    <w:bookmarkStart w:id="40" w:name="X9f66eef2700632e081dfe139021cb724ffcd2c5"/>
    <w:p>
      <w:pPr>
        <w:pStyle w:val="Heading4"/>
      </w:pPr>
      <w:r>
        <w:t xml:space="preserve">Category 12: End-of-Life Treatment of Sold Products</w:t>
      </w:r>
    </w:p>
    <w:p>
      <w:pPr>
        <w:numPr>
          <w:ilvl w:val="0"/>
          <w:numId w:val="1014"/>
        </w:numPr>
        <w:pStyle w:val="Compact"/>
      </w:pPr>
      <w:r>
        <w:t xml:space="preserve">Waste to Landfill: 0.14 kg * 0.2 kg CO2e/kg = 0.028 kg CO2e</w:t>
      </w:r>
    </w:p>
    <w:p>
      <w:pPr>
        <w:numPr>
          <w:ilvl w:val="0"/>
          <w:numId w:val="1014"/>
        </w:numPr>
        <w:pStyle w:val="Compact"/>
      </w:pPr>
      <w:r>
        <w:t xml:space="preserve">Recycling Benefits (80% of material CO2e avoided, assuming 50% efficiency for simplification):</w:t>
      </w:r>
    </w:p>
    <w:p>
      <w:pPr>
        <w:numPr>
          <w:ilvl w:val="1"/>
          <w:numId w:val="1015"/>
        </w:numPr>
        <w:pStyle w:val="Compact"/>
      </w:pPr>
      <w:r>
        <w:t xml:space="preserve">Total Material CO2e: 8.722 kg CO2e</w:t>
      </w:r>
    </w:p>
    <w:p>
      <w:pPr>
        <w:numPr>
          <w:ilvl w:val="1"/>
          <w:numId w:val="1015"/>
        </w:numPr>
        <w:pStyle w:val="Compact"/>
      </w:pPr>
      <w:r>
        <w:t xml:space="preserve">Recyclable portion: 8.722 kg CO2e * 0.80 = 6.978 kg CO2e</w:t>
      </w:r>
    </w:p>
    <w:p>
      <w:pPr>
        <w:numPr>
          <w:ilvl w:val="1"/>
          <w:numId w:val="1015"/>
        </w:numPr>
        <w:pStyle w:val="Compact"/>
      </w:pPr>
      <w:r>
        <w:t xml:space="preserve">Avoided Emissions: 6.978 kg CO2e * 0.50 = -3.489 kg CO2e</w:t>
      </w:r>
    </w:p>
    <w:p>
      <w:pPr>
        <w:numPr>
          <w:ilvl w:val="0"/>
          <w:numId w:val="1014"/>
        </w:numPr>
        <w:pStyle w:val="Compact"/>
      </w:pPr>
      <w:r>
        <w:rPr>
          <w:bCs/>
          <w:b/>
        </w:rPr>
        <w:t xml:space="preserve">Net End-of-Life Emissions = 0.028 - 3.489 = -3.461 kg CO2e</w:t>
      </w:r>
    </w:p>
    <w:bookmarkEnd w:id="40"/>
    <w:bookmarkEnd w:id="41"/>
    <w:bookmarkEnd w:id="42"/>
    <w:bookmarkStart w:id="43" w:name="summary-of-emissions-by-scope-and-stage"/>
    <w:p>
      <w:pPr>
        <w:pStyle w:val="Heading2"/>
      </w:pPr>
      <w:r>
        <w:t xml:space="preserve">4.4. Summary of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c>
          <w:tcPr/>
          <w:p>
            <w:pPr>
              <w:pStyle w:val="Compact"/>
              <w:jc w:val="left"/>
            </w:pPr>
            <w:r>
              <w:t xml:space="preserve">Percentage of Total</w:t>
            </w:r>
          </w:p>
        </w:tc>
      </w:tr>
      <w:tr>
        <w:tc>
          <w:tcPr/>
          <w:p>
            <w:pPr>
              <w:pStyle w:val="Compact"/>
              <w:jc w:val="left"/>
            </w:pPr>
            <w:r>
              <w:t xml:space="preserve">Raw Materials Acquisition</w:t>
            </w:r>
          </w:p>
        </w:tc>
        <w:tc>
          <w:tcPr/>
          <w:p>
            <w:pPr>
              <w:pStyle w:val="Compact"/>
              <w:jc w:val="left"/>
            </w:pPr>
            <w:r>
              <w:t xml:space="preserve">Scope 3 (Category 1)</w:t>
            </w:r>
          </w:p>
        </w:tc>
        <w:tc>
          <w:tcPr/>
          <w:p>
            <w:pPr>
              <w:pStyle w:val="Compact"/>
              <w:jc w:val="left"/>
            </w:pPr>
            <w:r>
              <w:t xml:space="preserve">8.722</w:t>
            </w:r>
          </w:p>
        </w:tc>
        <w:tc>
          <w:tcPr/>
          <w:p>
            <w:pPr>
              <w:pStyle w:val="Compact"/>
              <w:jc w:val="left"/>
            </w:pPr>
            <w:r>
              <w:t xml:space="preserve">6.16%</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5.250</w:t>
            </w:r>
          </w:p>
        </w:tc>
        <w:tc>
          <w:tcPr/>
          <w:p>
            <w:pPr>
              <w:pStyle w:val="Compact"/>
              <w:jc w:val="left"/>
            </w:pPr>
            <w:r>
              <w:t xml:space="preserve">3.71%</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0.203</w:t>
            </w:r>
          </w:p>
        </w:tc>
        <w:tc>
          <w:tcPr/>
          <w:p>
            <w:pPr>
              <w:pStyle w:val="Compact"/>
              <w:jc w:val="left"/>
            </w:pPr>
            <w:r>
              <w:t xml:space="preserve">0.14%</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0.294</w:t>
            </w:r>
          </w:p>
        </w:tc>
        <w:tc>
          <w:tcPr/>
          <w:p>
            <w:pPr>
              <w:pStyle w:val="Compact"/>
              <w:jc w:val="left"/>
            </w:pPr>
            <w:r>
              <w:t xml:space="preserve">0.21%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125.000</w:t>
            </w:r>
          </w:p>
        </w:tc>
        <w:tc>
          <w:tcPr/>
          <w:p>
            <w:pPr>
              <w:pStyle w:val="Compact"/>
              <w:jc w:val="left"/>
            </w:pPr>
            <w:r>
              <w:t xml:space="preserve">88.22%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-3.461</w:t>
            </w:r>
          </w:p>
        </w:tc>
        <w:tc>
          <w:tcPr/>
          <w:p>
            <w:pPr>
              <w:pStyle w:val="Compact"/>
              <w:jc w:val="left"/>
            </w:pPr>
            <w:r>
              <w:t xml:space="preserve">-2.44%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136.010</w:t>
            </w:r>
          </w:p>
        </w:tc>
        <w:tc>
          <w:tcPr/>
          <w:p>
            <w:pPr>
              <w:pStyle w:val="Compact"/>
              <w:jc w:val="left"/>
            </w:pPr>
            <w:r>
              <w:rPr>
                <w:bCs/>
                <w:b/>
              </w:rPr>
              <w:t xml:space="preserve">100.00%</w:t>
            </w:r>
          </w:p>
        </w:tc>
      </w:tr>
    </w:tbl>
    <w:p>
      <w:pPr>
        <w:pStyle w:val="BodyText"/>
      </w:pPr>
      <w:r>
        <w:t xml:space="preserve">Note: The total PCF is 136.010 kg CO2e (8.722 + 5.250 + 0.203 + 0.294 + 125.000 - 3.461).</w:t>
      </w:r>
    </w:p>
    <w:bookmarkEnd w:id="43"/>
    <w:bookmarkStart w:id="46" w:name="ghg-protocol-updates-integration"/>
    <w:p>
      <w:pPr>
        <w:pStyle w:val="Heading2"/>
      </w:pPr>
      <w:r>
        <w:t xml:space="preserve">4.5. 2026 GHG Protocol Updates Integration</w:t>
      </w:r>
    </w:p>
    <w:bookmarkStart w:id="44" w:name="land-sector-and-removals-lsr-standard"/>
    <w:p>
      <w:pPr>
        <w:pStyle w:val="Heading3"/>
      </w:pPr>
      <w:r>
        <w:t xml:space="preserve">4.5.1. Land Sector and Removals (LSR) Standard</w:t>
      </w:r>
    </w:p>
    <w:p>
      <w:pPr>
        <w:pStyle w:val="FirstParagraph"/>
      </w:pPr>
      <w:r>
        <w:t xml:space="preserve">The GHG Protocol Land Sector and Removals (LSR) Standard v1.0, effective January 1, 2027, provides requirements and recommendations for corporate GHG accounting related to agricultural and land use activities, as well as carbon removals. For</w:t>
      </w:r>
      <w:r>
        <w:t xml:space="preserve"> </w:t>
      </w:r>
      <w:r>
        <w:rPr>
          <w:bCs/>
          <w:b/>
        </w:rPr>
        <w:t xml:space="preserve">kohgpxhisf</w:t>
      </w:r>
      <w:r>
        <w:t xml:space="preserve">, with its primary industrial material composition (plastics, metals, electronics, lithium-ion battery), direct quantifiable emissions or removals related to land use change or agricultural production are not immediately evident within the provided Bill of Materials. However, in future, deeper supply chain traceability (e.g., for specific mining operations or if bio-based materials were introduced) would be necessary to fully implement the LSR Standard and account for any associated land-based emissions or removals. The accompanying LSR Guidance, expected in Q2 2026, will provide further practical direction.</w:t>
      </w:r>
    </w:p>
    <w:bookmarkEnd w:id="44"/>
    <w:bookmarkStart w:id="45" w:name="scope-3-compliance-95-coverage"/>
    <w:p>
      <w:pPr>
        <w:pStyle w:val="Heading3"/>
      </w:pPr>
      <w:r>
        <w:t xml:space="preserve">4.5.2. Scope 3 Compliance (95% Coverage)</w:t>
      </w:r>
    </w:p>
    <w:p>
      <w:pPr>
        <w:pStyle w:val="FirstParagraph"/>
      </w:pPr>
      <w:r>
        <w:t xml:space="preserve">The proposed revisions to the GHG Protocol Scope 3 Standard (March 2026 update) emphasize a quantitative completeness requirement, mandating companies to account for and report at least 95% of their total required Scope 3 emissions. Based on the detailed breakdown of raw materials (Category 1), transportation (Categories 4 &amp; 9), Use Phase (Category 11), and End-of-Life (Category 12), this analysis has captured the most material Scope 3 emission sources for</w:t>
      </w:r>
      <w:r>
        <w:t xml:space="preserve"> </w:t>
      </w:r>
      <w:r>
        <w:rPr>
          <w:bCs/>
          <w:b/>
        </w:rPr>
        <w:t xml:space="preserve">kohgpxhisf</w:t>
      </w:r>
      <w:r>
        <w:t xml:space="preserve">. The remaining unquantified emissions, such as business travel, employee commuting, or waste from operations (excluding product EoL), are considered minor in the context of a product-level assessment compared to the product\'s full lifecycle, thus demonstrating a high confidence in achieving the 95% coverage threshold for required Scope 3 emissions.</w:t>
      </w:r>
    </w:p>
    <w:p>
      <w:r>
        <w:pict>
          <v:rect style="width:0;height:1.5pt" o:hralign="center" o:hrstd="t" o:hr="t"/>
        </w:pict>
      </w:r>
    </w:p>
    <w:bookmarkEnd w:id="45"/>
    <w:bookmarkEnd w:id="46"/>
    <w:bookmarkEnd w:id="47"/>
    <w:bookmarkStart w:id="50" w:name="review-report"/>
    <w:p>
      <w:pPr>
        <w:pStyle w:val="Heading1"/>
      </w:pPr>
      <w:r>
        <w:t xml:space="preserve">5. Review &amp; Report</w:t>
      </w:r>
    </w:p>
    <w:bookmarkStart w:id="48" w:name="hotspots-and-reliability"/>
    <w:p>
      <w:pPr>
        <w:pStyle w:val="Heading2"/>
      </w:pPr>
      <w:r>
        <w:t xml:space="preserve">5.1. Hotspots and Reliability</w:t>
      </w:r>
    </w:p>
    <w:p>
      <w:pPr>
        <w:pStyle w:val="FirstParagraph"/>
      </w:pPr>
      <w:r>
        <w:t xml:space="preserve">The analysis identifies the</w:t>
      </w:r>
      <w:r>
        <w:t xml:space="preserve"> </w:t>
      </w:r>
      <w:r>
        <w:rPr>
          <w:bCs/>
          <w:b/>
        </w:rPr>
        <w:t xml:space="preserve">Use Phase</w:t>
      </w:r>
      <w:r>
        <w:t xml:space="preserve"> </w:t>
      </w:r>
      <w:r>
        <w:t xml:space="preserve">as the most significant contributor to the Product Carbon Footprint of</w:t>
      </w:r>
      <w:r>
        <w:t xml:space="preserve"> </w:t>
      </w:r>
      <w:r>
        <w:rPr>
          <w:bCs/>
          <w:b/>
        </w:rPr>
        <w:t xml:space="preserve">kohgpxhisf</w:t>
      </w:r>
      <w:r>
        <w:t xml:space="preserve">, accounting for approximately 88.22% of the total emissions. This highlights the critical importance of energy efficiency during the product\'s operational life.</w:t>
      </w:r>
    </w:p>
    <w:p>
      <w:pPr>
        <w:numPr>
          <w:ilvl w:val="0"/>
          <w:numId w:val="1016"/>
        </w:numPr>
        <w:pStyle w:val="Compact"/>
      </w:pPr>
      <w:r>
        <w:rPr>
          <w:bCs/>
          <w:b/>
        </w:rPr>
        <w:t xml:space="preserve">Primary Hotspots:</w:t>
      </w:r>
    </w:p>
    <w:p>
      <w:pPr>
        <w:numPr>
          <w:ilvl w:val="1"/>
          <w:numId w:val="1017"/>
        </w:numPr>
        <w:pStyle w:val="Compact"/>
      </w:pPr>
      <w:r>
        <w:rPr>
          <w:bCs/>
          <w:b/>
        </w:rPr>
        <w:t xml:space="preserve">Use Phase (88.22%):</w:t>
      </w:r>
      <w:r>
        <w:t xml:space="preserve"> </w:t>
      </w:r>
      <w:r>
        <w:t xml:space="preserve">Predominantly driven by the product\'s energy consumption over its 5-year lifespan.</w:t>
      </w:r>
    </w:p>
    <w:p>
      <w:pPr>
        <w:numPr>
          <w:ilvl w:val="1"/>
          <w:numId w:val="1017"/>
        </w:numPr>
        <w:pStyle w:val="Compact"/>
      </w:pPr>
      <w:r>
        <w:rPr>
          <w:bCs/>
          <w:b/>
        </w:rPr>
        <w:t xml:space="preserve">Raw Materials Acquisition (6.16%):</w:t>
      </w:r>
      <w:r>
        <w:t xml:space="preserve"> </w:t>
      </w:r>
      <w:r>
        <w:t xml:space="preserve">Materials like the Printed Circuit Board and Lithium-ion Battery contribute significantly due to their inherent production intensity.</w:t>
      </w:r>
    </w:p>
    <w:p>
      <w:pPr>
        <w:numPr>
          <w:ilvl w:val="1"/>
          <w:numId w:val="1017"/>
        </w:numPr>
        <w:pStyle w:val="Compact"/>
      </w:pPr>
      <w:r>
        <w:rPr>
          <w:bCs/>
          <w:b/>
        </w:rPr>
        <w:t xml:space="preserve">Manufacturing (3.71%):</w:t>
      </w:r>
      <w:r>
        <w:t xml:space="preserve"> </w:t>
      </w:r>
      <w:r>
        <w:t xml:space="preserve">Energy consumption in the production facility, even with 50% renewable energy usage, remains a notable factor due to China\'s grid emission intensity.</w:t>
      </w:r>
    </w:p>
    <w:p>
      <w:pPr>
        <w:numPr>
          <w:ilvl w:val="0"/>
          <w:numId w:val="1016"/>
        </w:numPr>
      </w:pPr>
      <w:r>
        <w:rPr>
          <w:bCs/>
          <w:b/>
        </w:rPr>
        <w:t xml:space="preserve">Reliability:</w:t>
      </w:r>
    </w:p>
    <w:p>
      <w:pPr>
        <w:numPr>
          <w:ilvl w:val="0"/>
          <w:numId w:val="1000"/>
        </w:numPr>
      </w:pPr>
      <w:r>
        <w:t xml:space="preserve">The reliability of this PCF is enhanced by the use of detailed Bill of Materials data and the application of industry-standard emission factors. However, it relies on several assumptions for placeholder parameters and average emission factors, which may not fully capture specific supplier data or real-world operational variations. For increased accuracy, primary data collection directly from suppliers for materials and logistics would be beneficial.</w:t>
      </w:r>
    </w:p>
    <w:bookmarkEnd w:id="48"/>
    <w:bookmarkStart w:id="49" w:name="recommendations-for-emission-reduction"/>
    <w:p>
      <w:pPr>
        <w:pStyle w:val="Heading2"/>
      </w:pPr>
      <w:r>
        <w:t xml:space="preserve">5.2. Recommendations for Emission Reduction</w:t>
      </w:r>
    </w:p>
    <w:p>
      <w:pPr>
        <w:pStyle w:val="FirstParagraph"/>
      </w:pPr>
      <w:r>
        <w:t xml:space="preserve">To significantly reduce the carbon footprint of</w:t>
      </w:r>
      <w:r>
        <w:t xml:space="preserve"> </w:t>
      </w:r>
      <w:r>
        <w:rPr>
          <w:bCs/>
          <w:b/>
        </w:rPr>
        <w:t xml:space="preserve">kohgpxhisf</w:t>
      </w:r>
      <w:r>
        <w:t xml:space="preserve">,</w:t>
      </w:r>
      <w:r>
        <w:t xml:space="preserve"> </w:t>
      </w:r>
      <w:r>
        <w:rPr>
          <w:bCs/>
          <w:b/>
        </w:rPr>
        <w:t xml:space="preserve">mmyxdzrwgh</w:t>
      </w:r>
      <w:r>
        <w:t xml:space="preserve"> </w:t>
      </w:r>
      <w:r>
        <w:t xml:space="preserve">should focus on the following areas:</w:t>
      </w:r>
    </w:p>
    <w:p>
      <w:pPr>
        <w:numPr>
          <w:ilvl w:val="0"/>
          <w:numId w:val="1018"/>
        </w:numPr>
        <w:pStyle w:val="Compact"/>
      </w:pPr>
      <w:r>
        <w:rPr>
          <w:bCs/>
          <w:b/>
        </w:rPr>
        <w:t xml:space="preserve">Enhance Use Phase Efficiency:</w:t>
      </w:r>
      <w:r>
        <w:t xml:space="preserve"> </w:t>
      </w:r>
      <w:r>
        <w:t xml:space="preserve">Invest in R&amp;D to drastically reduce the product\'s energy consumption during its operational life. This is the single largest opportunity for impact reduction.</w:t>
      </w:r>
    </w:p>
    <w:p>
      <w:pPr>
        <w:numPr>
          <w:ilvl w:val="0"/>
          <w:numId w:val="1018"/>
        </w:numPr>
        <w:pStyle w:val="Compact"/>
      </w:pPr>
      <w:r>
        <w:rPr>
          <w:bCs/>
          <w:b/>
        </w:rPr>
        <w:t xml:space="preserve">Sustainable Material Sourcing:</w:t>
      </w:r>
      <w:r>
        <w:t xml:space="preserve"> </w:t>
      </w:r>
      <w:r>
        <w:t xml:space="preserve">Explore alternative, lower-carbon materials for the PCB, battery, and aluminum components. Prioritize suppliers with transparent environmental reporting and high renewable energy adoption in their manufacturing.</w:t>
      </w:r>
    </w:p>
    <w:p>
      <w:pPr>
        <w:numPr>
          <w:ilvl w:val="0"/>
          <w:numId w:val="1018"/>
        </w:numPr>
        <w:pStyle w:val="Compact"/>
      </w:pPr>
      <w:r>
        <w:rPr>
          <w:bCs/>
          <w:b/>
        </w:rPr>
        <w:t xml:space="preserve">Increase Renewable Energy in Manufacturing:</w:t>
      </w:r>
      <w:r>
        <w:t xml:space="preserve"> </w:t>
      </w:r>
      <w:r>
        <w:t xml:space="preserve">Further increase the percentage of renewable energy used in the China production facility, beyond the current 50%, or procure high-quality Renewable Energy Certificates (RECs).</w:t>
      </w:r>
    </w:p>
    <w:p>
      <w:pPr>
        <w:numPr>
          <w:ilvl w:val="0"/>
          <w:numId w:val="1018"/>
        </w:numPr>
        <w:pStyle w:val="Compact"/>
      </w:pPr>
      <w:r>
        <w:rPr>
          <w:bCs/>
          <w:b/>
        </w:rPr>
        <w:t xml:space="preserve">Optimize Logistics:</w:t>
      </w:r>
      <w:r>
        <w:t xml:space="preserve"> </w:t>
      </w:r>
      <w:r>
        <w:t xml:space="preserve">Continuously optimize transport routes and modes for both inbound and outbound logistics, favoring less carbon-intensive options where feasible (e.g., rail over road for longer distances, or high-efficiency vehicles).</w:t>
      </w:r>
    </w:p>
    <w:p>
      <w:pPr>
        <w:numPr>
          <w:ilvl w:val="0"/>
          <w:numId w:val="1018"/>
        </w:numPr>
        <w:pStyle w:val="Compact"/>
      </w:pPr>
      <w:r>
        <w:rPr>
          <w:bCs/>
          <w:b/>
        </w:rPr>
        <w:t xml:space="preserve">Strengthen Circular Economy Programs:</w:t>
      </w:r>
      <w:r>
        <w:t xml:space="preserve"> </w:t>
      </w:r>
      <w:r>
        <w:t xml:space="preserve">The existing company-operated take-back scheme is excellent. Focus on maximizing the actual recovery and high-quality recycling rates to further increase avoided emissions benefits, potentially exploring remanufacturing or direct reuse where appropriate.</w:t>
      </w:r>
    </w:p>
    <w:p>
      <w:r>
        <w:pict>
          <v:rect style="width:0;height:1.5pt" o:hralign="center" o:hrstd="t" o:hr="t"/>
        </w:pict>
      </w:r>
    </w:p>
    <w:p>
      <w:pPr>
        <w:pStyle w:val="FirstParagraph"/>
      </w:pPr>
      <w:r>
        <w:t xml:space="preserve">Confidential - Internal Use Only |</w:t>
      </w:r>
      <w:r>
        <w:t xml:space="preserve"> </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kohgpxhisf</dc:title>
  <dc:creator/>
  <dc:description>Detailed Product Carbon Footprint (PCF) analysis for product kohgpxhisf, adhering to GHG Protocol standards and 2026 updates, conducted by enqtflhirf.</dc:description>
  <dc:language>en</dc:language>
  <cp:keywords/>
  <dcterms:created xsi:type="dcterms:W3CDTF">2026-07-14T23:51:39Z</dcterms:created>
  <dcterms:modified xsi:type="dcterms:W3CDTF">2026-07-14T23:51:39Z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