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knysjthyho</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knysjthyho"/>
    <w:p>
      <w:pPr>
        <w:pStyle w:val="Heading2"/>
      </w:pPr>
      <w:r>
        <w:t xml:space="preserve">for knysjthyho</w:t>
      </w:r>
    </w:p>
    <w:p>
      <w:pPr>
        <w:pStyle w:val="FirstParagraph"/>
      </w:pPr>
      <w:r>
        <w:rPr>
          <w:bCs/>
          <w:b/>
        </w:rPr>
        <w:t xml:space="preserve">Company Name:</w:t>
      </w:r>
      <w:r>
        <w:t xml:space="preserve"> </w:t>
      </w:r>
      <w:r>
        <w:t xml:space="preserve">ufjhrxzpol</w:t>
      </w:r>
    </w:p>
    <w:p>
      <w:pPr>
        <w:pStyle w:val="BodyText"/>
      </w:pPr>
      <w:r>
        <w:rPr>
          <w:bCs/>
          <w:b/>
        </w:rPr>
        <w:t xml:space="preserve">Senior Sustainability Consultant:</w:t>
      </w:r>
      <w:r>
        <w:t xml:space="preserve"> </w:t>
      </w:r>
      <w:r>
        <w:t xml:space="preserve">rqhpdnfpeg</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w:t>
      </w:r>
      <w:r>
        <w:t xml:space="preserve"> </w:t>
      </w:r>
      <w:r>
        <w:t xml:space="preserve">Actual values may vary and are subject to detailed primary data collection and verification.</w:t>
      </w:r>
    </w:p>
    <w:bookmarkEnd w:id="20"/>
    <w:bookmarkEnd w:id="21"/>
    <w:bookmarkStart w:id="48" w:name="X896778e579a4efa17d76f0ab7b210f9d7d71e18"/>
    <w:p>
      <w:pPr>
        <w:pStyle w:val="Heading1"/>
      </w:pPr>
      <w:r>
        <w:t xml:space="preserve">Product Carbon Footprint Analysis for knysjthyho</w:t>
      </w:r>
    </w:p>
    <w:p>
      <w:pPr>
        <w:pStyle w:val="FirstParagraph"/>
      </w:pPr>
      <w:r>
        <w:rPr>
          <w:bCs/>
          <w:b/>
        </w:rPr>
        <w:t xml:space="preserve">Generated Date:</w:t>
      </w:r>
      <w:r>
        <w:t xml:space="preserve"> </w:t>
      </w:r>
      <w:r>
        <w:t xml:space="preserve">May 29,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knysjthyho, manufactured by ufjhrxzpol. Conducted by Senior Sustainability Consultant rqhpdnfpeg, this analysis adheres strictly to the GHG Protocol, including the 2026 Land Sector and Removals (LSR) Standard and aims for a minimum of 95% Scope 3 coverage. The assessment covers the product\'s lifecycle from raw material acquisition to end-of-life, with a specific focus on a factory_gate system boundary and a supply chain centered in Europe with final production in China. Key emission hotspots are identified across material sourcing, manufacturing, logistics, use phase, and end-of-life scenarios, providing actionable insights for emissions reduction strategies.</w:t>
      </w:r>
    </w:p>
    <w:p>
      <w:r>
        <w:pict>
          <v:rect style="width:0;height:1.5pt" o:hralign="center" o:hrstd="t" o:hr="t"/>
        </w:pict>
      </w:r>
    </w:p>
    <w:bookmarkEnd w:id="22"/>
    <w:bookmarkStart w:id="23" w:name="defining-the-scope"/>
    <w:p>
      <w:pPr>
        <w:pStyle w:val="Heading2"/>
      </w:pPr>
      <w:r>
        <w:t xml:space="preserve">1. Defining the Scope</w:t>
      </w:r>
    </w:p>
    <w:p>
      <w:pPr>
        <w:pStyle w:val="FirstParagraph"/>
      </w:pPr>
      <w:r>
        <w:t xml:space="preserve">The initial phase of the PCF analysis establishes the boundaries and parameters for the assessment, ensuring consistency and relevance according to the GHG Protocol.</w:t>
      </w:r>
    </w:p>
    <w:p>
      <w:pPr>
        <w:numPr>
          <w:ilvl w:val="0"/>
          <w:numId w:val="1001"/>
        </w:numPr>
        <w:pStyle w:val="Compact"/>
      </w:pPr>
      <w:r>
        <w:rPr>
          <w:bCs/>
          <w:b/>
        </w:rPr>
        <w:t xml:space="preserve">Functional Unit:</w:t>
      </w:r>
      <w:r>
        <w:t xml:space="preserve"> </w:t>
      </w:r>
      <w:r>
        <w:t xml:space="preserve">The functional unit for this PCF study is defined as 1.0 unit of knysjthyho. This unit serves as the reference basis for all quantified inputs and outputs throughout the product\'s lifecycle.</w:t>
      </w:r>
    </w:p>
    <w:p>
      <w:pPr>
        <w:numPr>
          <w:ilvl w:val="0"/>
          <w:numId w:val="1001"/>
        </w:numPr>
        <w:pStyle w:val="Compact"/>
      </w:pPr>
      <w:r>
        <w:rPr>
          <w:bCs/>
          <w:b/>
        </w:rPr>
        <w:t xml:space="preserve">System Boundary:</w:t>
      </w:r>
      <w:r>
        <w:t xml:space="preserve"> </w:t>
      </w:r>
      <w:r>
        <w:t xml:space="preserve">The system boundary for this analysis is defined as "factory_gate". This encompasses all emissions from raw material extraction and processing, through manufacturing processes, and up to the point where the finished product leaves the production facility (ufjhrxzpol). While the primary focus for detailed calculation is within the factory gate, upstream and downstream impacts (Scope 3) are meticulously considered for comprehensive reporting.</w:t>
      </w:r>
    </w:p>
    <w:p>
      <w:pPr>
        <w:numPr>
          <w:ilvl w:val="0"/>
          <w:numId w:val="1001"/>
        </w:numPr>
        <w:pStyle w:val="Compact"/>
      </w:pPr>
      <w:r>
        <w:rPr>
          <w:bCs/>
          <w:b/>
        </w:rPr>
        <w:t xml:space="preserve">Geographic Scope:</w:t>
      </w:r>
      <w:r>
        <w:t xml:space="preserve"> </w:t>
      </w:r>
      <w:r>
        <w:t xml:space="preserve">The geographic scope specifies a "Final Production Country: China" for the manufacturing of knysjthyho. The "Supply Chain Focus: Europe Focused" indicates that upstream material sourcing and initial processing primarily occur within Europe before transport to China for final assembly.</w:t>
      </w:r>
    </w:p>
    <w:p>
      <w:pPr>
        <w:numPr>
          <w:ilvl w:val="0"/>
          <w:numId w:val="1001"/>
        </w:numPr>
        <w:pStyle w:val="Compact"/>
      </w:pPr>
      <w:r>
        <w:rPr>
          <w:bCs/>
          <w:b/>
        </w:rPr>
        <w:t xml:space="preserve">Accounting Standard:</w:t>
      </w:r>
      <w:r>
        <w:t xml:space="preserve"> </w:t>
      </w:r>
      <w:r>
        <w:t xml:space="preserve">This PCF analysis strictly adheres to the GHG Protocol Product Standard. Emissions are categorized into Scope 1 (direct emissions from owned or controlled sources), Scope 2 (indirect emissions from the generation of purchased energy), and Scope 3 (all other indirect emissions that occur in a company’s value chain). Compliance with the 2026 LSR Update for land use and carbon removals, and achieving at least 95% Scope 3 coverage, are central tenets of this assessment.</w:t>
      </w:r>
    </w:p>
    <w:p>
      <w:pPr>
        <w:numPr>
          <w:ilvl w:val="0"/>
          <w:numId w:val="1001"/>
        </w:numPr>
        <w:pStyle w:val="Compact"/>
      </w:pPr>
      <w:r>
        <w:rPr>
          <w:bCs/>
          <w:b/>
        </w:rPr>
        <w:t xml:space="preserve">Allocation:</w:t>
      </w:r>
      <w:r>
        <w:t xml:space="preserve"> </w:t>
      </w:r>
      <w:r>
        <w:t xml:space="preserve">Where co-production or multi-output processes occur, allocation of environmental burdens is performed based on established GHG Protocol guidelines, typically using physical relationships (e.g., mass) or economic value as allocation factors, to ensure fair and accurate distribution of impacts.</w:t>
      </w:r>
    </w:p>
    <w:p>
      <w:r>
        <w:pict>
          <v:rect style="width:0;height:1.5pt" o:hralign="center" o:hrstd="t" o:hr="t"/>
        </w:pict>
      </w:r>
    </w:p>
    <w:bookmarkEnd w:id="23"/>
    <w:bookmarkStart w:id="24" w:name="Xeceb5f3c4cb430539f02d69dd8b49b0c98a11ff"/>
    <w:p>
      <w:pPr>
        <w:pStyle w:val="Heading2"/>
      </w:pPr>
      <w:r>
        <w:t xml:space="preserve">2. Mapping the Lifecycle (LCI Inventory Stages)</w:t>
      </w:r>
    </w:p>
    <w:p>
      <w:pPr>
        <w:pStyle w:val="FirstParagraph"/>
      </w:pPr>
      <w:r>
        <w:t xml:space="preserve">The lifecycle of knysjthyho is mapped into distinct stages to systematically identify and categorize all relevant inputs (materials, energy) and outputs (emissions) throughout its existence. The stages considered under the factory_gate boundary and extended Scope 3 coverage include:</w:t>
      </w:r>
    </w:p>
    <w:p>
      <w:pPr>
        <w:numPr>
          <w:ilvl w:val="0"/>
          <w:numId w:val="1002"/>
        </w:numPr>
        <w:pStyle w:val="Compact"/>
      </w:pPr>
      <w:r>
        <w:rPr>
          <w:bCs/>
          <w:b/>
        </w:rPr>
        <w:t xml:space="preserve">Raw Material Acquisition &amp; Pre-processing:</w:t>
      </w:r>
      <w:r>
        <w:t xml:space="preserve"> </w:t>
      </w:r>
      <w:r>
        <w:t xml:space="preserve">Extraction, cultivation, and initial processing of all raw materials used in knysjthyho.</w:t>
      </w:r>
    </w:p>
    <w:p>
      <w:pPr>
        <w:numPr>
          <w:ilvl w:val="0"/>
          <w:numId w:val="1002"/>
        </w:numPr>
        <w:pStyle w:val="Compact"/>
      </w:pPr>
      <w:r>
        <w:rPr>
          <w:bCs/>
          <w:b/>
        </w:rPr>
        <w:t xml:space="preserve">Manufacturing &amp; Production:</w:t>
      </w:r>
      <w:r>
        <w:t xml:space="preserve"> </w:t>
      </w:r>
      <w:r>
        <w:t xml:space="preserve">All processes at ufjhrxzpol\'s facility in China, including component fabrication, assembly, and packaging.</w:t>
      </w:r>
    </w:p>
    <w:p>
      <w:pPr>
        <w:numPr>
          <w:ilvl w:val="0"/>
          <w:numId w:val="1002"/>
        </w:numPr>
        <w:pStyle w:val="Compact"/>
      </w:pPr>
      <w:r>
        <w:rPr>
          <w:bCs/>
          <w:b/>
        </w:rPr>
        <w:t xml:space="preserve">Transportation &amp; Logistics:</w:t>
      </w:r>
      <w:r>
        <w:t xml:space="preserve"> </w:t>
      </w:r>
      <w:r>
        <w:t xml:space="preserve">Inbound logistics (raw materials to factory), outbound logistics (factory to distribution/customer), and last-mile delivery.</w:t>
      </w:r>
    </w:p>
    <w:p>
      <w:pPr>
        <w:numPr>
          <w:ilvl w:val="0"/>
          <w:numId w:val="1002"/>
        </w:numPr>
        <w:pStyle w:val="Compact"/>
      </w:pPr>
      <w:r>
        <w:rPr>
          <w:bCs/>
          <w:b/>
        </w:rPr>
        <w:t xml:space="preserve">Use Phase:</w:t>
      </w:r>
      <w:r>
        <w:t xml:space="preserve"> </w:t>
      </w:r>
      <w:r>
        <w:t xml:space="preserve">Energy consumption and other impacts during the product\'s active service life by the end-user.</w:t>
      </w:r>
    </w:p>
    <w:p>
      <w:pPr>
        <w:numPr>
          <w:ilvl w:val="0"/>
          <w:numId w:val="1002"/>
        </w:numPr>
        <w:pStyle w:val="Compact"/>
      </w:pPr>
      <w:r>
        <w:rPr>
          <w:bCs/>
          <w:b/>
        </w:rPr>
        <w:t xml:space="preserve">End-of-Life (EoL):</w:t>
      </w:r>
      <w:r>
        <w:t xml:space="preserve"> </w:t>
      </w:r>
      <w:r>
        <w:t xml:space="preserve">Collection, recycling, disposal, or recovery of the product and its components after its useful life.</w:t>
      </w:r>
    </w:p>
    <w:p>
      <w:r>
        <w:pict>
          <v:rect style="width:0;height:1.5pt" o:hralign="center" o:hrstd="t" o:hr="t"/>
        </w:pict>
      </w:r>
    </w:p>
    <w:bookmarkEnd w:id="24"/>
    <w:bookmarkStart w:id="31" w:name="X7b6d01ce7b6bfe45f00681616505557cddf238f"/>
    <w:p>
      <w:pPr>
        <w:pStyle w:val="Heading2"/>
      </w:pPr>
      <w:r>
        <w:t xml:space="preserve">3. Data Collection (Primary/Secondary Data Points)</w:t>
      </w:r>
    </w:p>
    <w:p>
      <w:pPr>
        <w:pStyle w:val="FirstParagraph"/>
      </w:pPr>
      <w:r>
        <w:t xml:space="preserve">Data collection is a critical step, involving both primary (company-specific) and secondary (generic, industry-average) data sources to ensure high accuracy and comprehensive coverage. For this report, specific parameters provided by ufjhrxzpol are integrated.</w:t>
      </w:r>
    </w:p>
    <w:bookmarkStart w:id="25" w:name="X31fc2dcc52e3b580ed866edf2bcc4e6e27558d9"/>
    <w:p>
      <w:pPr>
        <w:pStyle w:val="Heading3"/>
      </w:pPr>
      <w:r>
        <w:t xml:space="preserve">3.1. Detailed Bill of Materials (BOM) for knysjthyho</w:t>
      </w:r>
    </w:p>
    <w:p>
      <w:pPr>
        <w:pStyle w:val="FirstParagraph"/>
      </w:pPr>
      <w:r>
        <w:t xml:space="preserve">The following detailed Bill of Materials (BOM) data, designated as khrvzjhk, is used for high-accuracy material impact calculation. The \'Total Carbon\' for each item, where provided, is directly incorporated into the calculation. This forms a significant part of upstream (Scope 3, Category 1)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(Illustrative)</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Component</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10</w:t>
            </w:r>
          </w:p>
        </w:tc>
        <w:tc>
          <w:tcPr/>
          <w:p>
            <w:pPr>
              <w:pStyle w:val="Compact"/>
              <w:jc w:val="left"/>
            </w:pPr>
            <w:r>
              <w:t xml:space="preserve">kg</w:t>
            </w:r>
          </w:p>
        </w:tc>
        <w:tc>
          <w:tcPr/>
          <w:p>
            <w:pPr>
              <w:pStyle w:val="Compact"/>
              <w:jc w:val="left"/>
            </w:pPr>
            <w:r>
              <w:t xml:space="preserve">2.5 kgCO2e/kg</w:t>
            </w:r>
          </w:p>
        </w:tc>
        <w:tc>
          <w:tcPr/>
          <w:p>
            <w:pPr>
              <w:pStyle w:val="Compact"/>
              <w:jc w:val="left"/>
            </w:pPr>
            <w:r>
              <w:t xml:space="preserve">25.0</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3.0 kgCO2e/kg</w:t>
            </w:r>
          </w:p>
        </w:tc>
        <w:tc>
          <w:tcPr/>
          <w:p>
            <w:pPr>
              <w:pStyle w:val="Compact"/>
              <w:jc w:val="left"/>
            </w:pPr>
            <w:r>
              <w:t xml:space="preserve">1.5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1.2 kgCO2e/unit</w:t>
            </w:r>
          </w:p>
        </w:tc>
        <w:tc>
          <w:tcPr/>
          <w:p>
            <w:pPr>
              <w:pStyle w:val="Compact"/>
              <w:jc w:val="left"/>
            </w:pPr>
            <w:r>
              <w:t xml:space="preserve">1.2</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4.0 kgCO2e/kg</w:t>
            </w:r>
          </w:p>
        </w:tc>
        <w:tc>
          <w:tcPr/>
          <w:p>
            <w:pPr>
              <w:pStyle w:val="Compact"/>
              <w:jc w:val="left"/>
            </w:pPr>
            <w:r>
              <w:t xml:space="preserve">0.8</w:t>
            </w:r>
          </w:p>
        </w:tc>
      </w:tr>
      <w:tr>
        <w:tc>
          <w:tcPr/>
          <w:p>
            <w:pPr>
              <w:pStyle w:val="Compact"/>
              <w:jc w:val="left"/>
            </w:pPr>
            <w:r>
              <w:t xml:space="preserve">5</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 kgCO2e/kg</w:t>
            </w:r>
          </w:p>
        </w:tc>
        <w:tc>
          <w:tcPr/>
          <w:p>
            <w:pPr>
              <w:pStyle w:val="Compact"/>
              <w:jc w:val="left"/>
            </w:pPr>
            <w:r>
              <w:t xml:space="preserve">0.1</w:t>
            </w:r>
          </w:p>
        </w:tc>
      </w:tr>
    </w:tbl>
    <w:bookmarkEnd w:id="25"/>
    <w:bookmarkStart w:id="26" w:name="energy-inputs-for-production"/>
    <w:p>
      <w:pPr>
        <w:pStyle w:val="Heading3"/>
      </w:pPr>
      <w:r>
        <w:t xml:space="preserve">3.2. Energy Inputs for Production</w:t>
      </w:r>
    </w:p>
    <w:p>
      <w:pPr>
        <w:numPr>
          <w:ilvl w:val="0"/>
          <w:numId w:val="1003"/>
        </w:numPr>
        <w:pStyle w:val="Compact"/>
      </w:pPr>
      <w:r>
        <w:rPr>
          <w:bCs/>
          <w:b/>
        </w:rPr>
        <w:t xml:space="preserve">Renewable Energy Usage:</w:t>
      </w:r>
      <w:r>
        <w:t xml:space="preserve"> </w:t>
      </w:r>
      <w:r>
        <w:t xml:space="preserve">zsegqvivey (e.g., "70%") of the electricity consumed at the production facility is sourced from renewable energy, significantly reducing Scope 2 emissions.</w:t>
      </w:r>
    </w:p>
    <w:p>
      <w:pPr>
        <w:numPr>
          <w:ilvl w:val="0"/>
          <w:numId w:val="1003"/>
        </w:numPr>
        <w:pStyle w:val="Compact"/>
      </w:pPr>
      <w:r>
        <w:rPr>
          <w:bCs/>
          <w:b/>
        </w:rPr>
        <w:t xml:space="preserve">Energy Intensity (kWh/unit):</w:t>
      </w:r>
      <w:r>
        <w:t xml:space="preserve"> </w:t>
      </w:r>
      <w:r>
        <w:t xml:space="preserve">The production process for knysjthyho has an energy intensity of ooivfdhosh (e.g., "5 kWh/unit").</w:t>
      </w:r>
    </w:p>
    <w:p>
      <w:pPr>
        <w:numPr>
          <w:ilvl w:val="0"/>
          <w:numId w:val="1003"/>
        </w:numPr>
        <w:pStyle w:val="Compact"/>
      </w:pPr>
      <w:r>
        <w:rPr>
          <w:bCs/>
          <w:b/>
        </w:rPr>
        <w:t xml:space="preserve">Grid Electricity Emission Factor:</w:t>
      </w:r>
      <w:r>
        <w:t xml:space="preserve"> </w:t>
      </w:r>
      <w:r>
        <w:t xml:space="preserve">A regional grid mix factor for China (e.g., 0.6 kg CO2e/kWh for non-renewable portion, based on IEA or equivalent data) is applied.</w:t>
      </w:r>
    </w:p>
    <w:bookmarkEnd w:id="26"/>
    <w:bookmarkStart w:id="27" w:name="transportation-and-logistics-data"/>
    <w:p>
      <w:pPr>
        <w:pStyle w:val="Heading3"/>
      </w:pPr>
      <w:r>
        <w:t xml:space="preserve">3.3. Transportation and Logistics Data</w:t>
      </w:r>
    </w:p>
    <w:p>
      <w:pPr>
        <w:numPr>
          <w:ilvl w:val="0"/>
          <w:numId w:val="1004"/>
        </w:numPr>
        <w:pStyle w:val="Compact"/>
      </w:pPr>
      <w:r>
        <w:rPr>
          <w:bCs/>
          <w:b/>
        </w:rPr>
        <w:t xml:space="preserve">Primary Transport Mode:</w:t>
      </w:r>
      <w:r>
        <w:t xml:space="preserve"> </w:t>
      </w:r>
      <w:r>
        <w:t xml:space="preserve">Select Mode (e.g., "Ocean Freight") for long-distance international shipping (Europe to China, and China to primary markets).</w:t>
      </w:r>
    </w:p>
    <w:p>
      <w:pPr>
        <w:numPr>
          <w:ilvl w:val="0"/>
          <w:numId w:val="1004"/>
        </w:numPr>
        <w:pStyle w:val="Compact"/>
      </w:pPr>
      <w:r>
        <w:rPr>
          <w:bCs/>
          <w:b/>
        </w:rPr>
        <w:t xml:space="preserve">Transport Distance:</w:t>
      </w:r>
      <w:r>
        <w:t xml:space="preserve"> </w:t>
      </w:r>
      <w:r>
        <w:t xml:space="preserve">doqeigdjrh (e.g., "1500 km") for average one-way transport of finished goods from factory to regional distribution centers. Upstream material transport distances are estimated based on a "Europe Focused" supply chain.</w:t>
      </w:r>
    </w:p>
    <w:p>
      <w:pPr>
        <w:numPr>
          <w:ilvl w:val="0"/>
          <w:numId w:val="1004"/>
        </w:numPr>
        <w:pStyle w:val="Compact"/>
      </w:pPr>
      <w:r>
        <w:rPr>
          <w:bCs/>
          <w:b/>
        </w:rPr>
        <w:t xml:space="preserve">Last-Mile Delivery Channel:</w:t>
      </w:r>
      <w:r>
        <w:t xml:space="preserve"> </w:t>
      </w:r>
      <w:r>
        <w:t xml:space="preserve">Delivery Type (e.g., "Last-Mile Van Delivery") from regional distribution centers to the final customer.</w:t>
      </w:r>
    </w:p>
    <w:p>
      <w:pPr>
        <w:numPr>
          <w:ilvl w:val="0"/>
          <w:numId w:val="1004"/>
        </w:numPr>
        <w:pStyle w:val="Compact"/>
      </w:pPr>
      <w:r>
        <w:rPr>
          <w:bCs/>
          <w:b/>
        </w:rPr>
        <w:t xml:space="preserve">Emission Factors:</w:t>
      </w:r>
      <w:r>
        <w:t xml:space="preserve"> </w:t>
      </w:r>
      <w:r>
        <w:t xml:space="preserve">Industry-standard emission factors for various transport modes (e.g., kg CO2e/tonne-km from DEFRA or Ecoinvent) are used.</w:t>
      </w:r>
    </w:p>
    <w:bookmarkEnd w:id="27"/>
    <w:bookmarkStart w:id="28"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tyqsqljvfv (e.g., "5 years").</w:t>
      </w:r>
    </w:p>
    <w:p>
      <w:pPr>
        <w:numPr>
          <w:ilvl w:val="0"/>
          <w:numId w:val="1005"/>
        </w:numPr>
        <w:pStyle w:val="Compact"/>
      </w:pPr>
      <w:r>
        <w:rPr>
          <w:bCs/>
          <w:b/>
        </w:rPr>
        <w:t xml:space="preserve">Energy Consumption in Use:</w:t>
      </w:r>
      <w:r>
        <w:t xml:space="preserve"> </w:t>
      </w:r>
      <w:r>
        <w:t xml:space="preserve">zxeerpvuif (e.g., "10 kWh/year"). This data is critical for calculating the Scope 3, Category 11 emissions.</w:t>
      </w:r>
    </w:p>
    <w:p>
      <w:pPr>
        <w:numPr>
          <w:ilvl w:val="0"/>
          <w:numId w:val="1005"/>
        </w:numPr>
        <w:pStyle w:val="Compact"/>
      </w:pPr>
      <w:r>
        <w:rPr>
          <w:bCs/>
          <w:b/>
        </w:rPr>
        <w:t xml:space="preserve">Energy Mix for Use Phase:</w:t>
      </w:r>
      <w:r>
        <w:t xml:space="preserve"> </w:t>
      </w:r>
      <w:r>
        <w:t xml:space="preserve">A global or relevant regional average electricity grid mix factor will be applied for the use phase, assuming typical end-user energy sources.</w:t>
      </w:r>
    </w:p>
    <w:bookmarkEnd w:id="28"/>
    <w:bookmarkStart w:id="29" w:name="end-of-life-eol-scenarios"/>
    <w:p>
      <w:pPr>
        <w:pStyle w:val="Heading3"/>
      </w:pPr>
      <w:r>
        <w:t xml:space="preserve">3.5. End-of-Life (EoL) Scenarios</w:t>
      </w:r>
    </w:p>
    <w:p>
      <w:pPr>
        <w:numPr>
          <w:ilvl w:val="0"/>
          <w:numId w:val="1006"/>
        </w:numPr>
        <w:pStyle w:val="Compact"/>
      </w:pPr>
      <w:r>
        <w:rPr>
          <w:bCs/>
          <w:b/>
        </w:rPr>
        <w:t xml:space="preserve">Recyclability Percentage:</w:t>
      </w:r>
      <w:r>
        <w:t xml:space="preserve"> </w:t>
      </w:r>
      <w:r>
        <w:t xml:space="preserve">uudkfisiwm (e.g., "80%") of the product\'s materials are technically recyclable. This influences the credits or debits associated with EoL processing.</w:t>
      </w:r>
    </w:p>
    <w:p>
      <w:pPr>
        <w:numPr>
          <w:ilvl w:val="0"/>
          <w:numId w:val="1006"/>
        </w:numPr>
        <w:pStyle w:val="Compact"/>
      </w:pPr>
      <w:r>
        <w:rPr>
          <w:bCs/>
          <w:b/>
        </w:rPr>
        <w:t xml:space="preserve">Circular/Take-back Programs:</w:t>
      </w:r>
      <w:r>
        <w:t xml:space="preserve"> </w:t>
      </w:r>
      <w:r>
        <w:t xml:space="preserve">ymvshrvzee (e.g., "Product Take-back Program"). The presence of such programs indicates a higher likelihood of material recovery and recycling, reducing virgin material demand.</w:t>
      </w:r>
    </w:p>
    <w:p>
      <w:pPr>
        <w:numPr>
          <w:ilvl w:val="0"/>
          <w:numId w:val="1006"/>
        </w:numPr>
        <w:pStyle w:val="Compact"/>
      </w:pPr>
      <w:r>
        <w:rPr>
          <w:bCs/>
          <w:b/>
        </w:rPr>
        <w:t xml:space="preserve">EoL Emission Factors:</w:t>
      </w:r>
      <w:r>
        <w:t xml:space="preserve"> </w:t>
      </w:r>
      <w:r>
        <w:t xml:space="preserve">Factors for recycling, incineration, and landfilling (e.g., from Ecoinvent) are used, considering avoided emissions from recycling.</w:t>
      </w:r>
    </w:p>
    <w:bookmarkEnd w:id="29"/>
    <w:bookmarkStart w:id="30" w:name="secondary-data-sources"/>
    <w:p>
      <w:pPr>
        <w:pStyle w:val="Heading3"/>
      </w:pPr>
      <w:r>
        <w:t xml:space="preserve">3.6. Secondary Data Sources</w:t>
      </w:r>
    </w:p>
    <w:p>
      <w:pPr>
        <w:pStyle w:val="FirstParagraph"/>
      </w:pPr>
      <w:r>
        <w:t xml:space="preserve">Generic emission factors for processes, energy grids, and material production where primary data is unavailable are sourced from reputable life cycle inventory databases such as Ecoinvent and government databases like DEFRA (Department for Environment, Food &amp; Rural Affairs) and the US EPA (Environmental Protection Agency).</w:t>
      </w:r>
    </w:p>
    <w:p>
      <w:r>
        <w:pict>
          <v:rect style="width:0;height:1.5pt" o:hralign="center" o:hrstd="t" o:hr="t"/>
        </w:pict>
      </w:r>
    </w:p>
    <w:bookmarkEnd w:id="30"/>
    <w:bookmarkEnd w:id="31"/>
    <w:bookmarkStart w:id="42" w:name="X439a6e6dcb43c636bf515ffaf3f59bce0bd6490"/>
    <w:p>
      <w:pPr>
        <w:pStyle w:val="Heading2"/>
      </w:pPr>
      <w:r>
        <w:t xml:space="preserve">4. Emission Calculation (Activity * Emission Factor = CO2e)</w:t>
      </w:r>
    </w:p>
    <w:p>
      <w:pPr>
        <w:pStyle w:val="FirstParagraph"/>
      </w:pPr>
      <w:r>
        <w:t xml:space="preserve">This section details the calculation of greenhouse gas emissions (in CO2e) across the product\'s lifecycle, categorized according to the GHG Protocol.</w:t>
      </w:r>
    </w:p>
    <w:bookmarkStart w:id="32" w:name="X9f9a9b66bbb51ba1587ad0b7ac537949841e0ef"/>
    <w:p>
      <w:pPr>
        <w:pStyle w:val="Heading3"/>
      </w:pPr>
      <w:r>
        <w:t xml:space="preserve">4.1. Scope 1: Direct Emissions (ufjhrxzpol Factory - China)</w:t>
      </w:r>
    </w:p>
    <w:p>
      <w:pPr>
        <w:pStyle w:val="FirstParagraph"/>
      </w:pPr>
      <w:r>
        <w:t xml:space="preserve">These emissions arise from sources directly owned or controlled by ufjhrxzpol\'s production facility in China. Examples could include on-site fuel combustion for heating or owned vehicle fleets. For this report, specific data for direct emissions are not provided, hence a placeholder value is used.</w:t>
      </w:r>
    </w:p>
    <w:p>
      <w:pPr>
        <w:numPr>
          <w:ilvl w:val="0"/>
          <w:numId w:val="1007"/>
        </w:numPr>
        <w:pStyle w:val="Compact"/>
      </w:pPr>
      <w:r>
        <w:rPr>
          <w:bCs/>
          <w:b/>
        </w:rPr>
        <w:t xml:space="preserve">Direct Combustion (e.g., boilers, forklifts):</w:t>
      </w:r>
      <w:r>
        <w:t xml:space="preserve"> </w:t>
      </w:r>
      <w:r>
        <w:t xml:space="preserve">[Placeholder for actual calculation]</w:t>
      </w:r>
    </w:p>
    <w:p>
      <w:pPr>
        <w:numPr>
          <w:ilvl w:val="0"/>
          <w:numId w:val="1007"/>
        </w:numPr>
        <w:pStyle w:val="Compact"/>
      </w:pPr>
      <w:r>
        <w:rPr>
          <w:bCs/>
          <w:b/>
        </w:rPr>
        <w:t xml:space="preserve">Fugitive Emissions (e.g., refrigerants):</w:t>
      </w:r>
      <w:r>
        <w:t xml:space="preserve"> </w:t>
      </w:r>
      <w:r>
        <w:t xml:space="preserve">[Placeholder for actual calculation]</w:t>
      </w:r>
    </w:p>
    <w:p>
      <w:pPr>
        <w:pStyle w:val="FirstParagraph"/>
      </w:pPr>
      <w:r>
        <w:rPr>
          <w:bCs/>
          <w:b/>
        </w:rPr>
        <w:t xml:space="preserve">Estimated Scope 1 Emissions:</w:t>
      </w:r>
      <w:r>
        <w:t xml:space="preserve"> </w:t>
      </w:r>
      <w:r>
        <w:t xml:space="preserve">0.1 kg CO2e / functional unit (Illustrative)</w:t>
      </w:r>
    </w:p>
    <w:bookmarkEnd w:id="32"/>
    <w:bookmarkStart w:id="33" w:name="X050f35e71ebc7327de226f6aad9b7a2ca416880"/>
    <w:p>
      <w:pPr>
        <w:pStyle w:val="Heading3"/>
      </w:pPr>
      <w:r>
        <w:t xml:space="preserve">4.2. Scope 2: Indirect Emissions from Purchased Energy (ufjhrxzpol Factory - China)</w:t>
      </w:r>
    </w:p>
    <w:p>
      <w:pPr>
        <w:pStyle w:val="FirstParagraph"/>
      </w:pPr>
      <w:r>
        <w:t xml:space="preserve">These emissions result from the generation of purchased electricity, steam, heating, or cooling consumed by ufjhrxzpol\'s operations.</w:t>
      </w:r>
    </w:p>
    <w:p>
      <w:pPr>
        <w:numPr>
          <w:ilvl w:val="0"/>
          <w:numId w:val="1008"/>
        </w:numPr>
        <w:pStyle w:val="Compact"/>
      </w:pPr>
      <w:r>
        <w:rPr>
          <w:bCs/>
          <w:b/>
        </w:rPr>
        <w:t xml:space="preserve">Energy Intensity:</w:t>
      </w:r>
      <w:r>
        <w:t xml:space="preserve"> </w:t>
      </w:r>
      <w:r>
        <w:t xml:space="preserve">5 kWh/unit (ooivfdhosh)</w:t>
      </w:r>
    </w:p>
    <w:p>
      <w:pPr>
        <w:numPr>
          <w:ilvl w:val="0"/>
          <w:numId w:val="1008"/>
        </w:numPr>
        <w:pStyle w:val="Compact"/>
      </w:pPr>
      <w:r>
        <w:rPr>
          <w:bCs/>
          <w:b/>
        </w:rPr>
        <w:t xml:space="preserve">Renewable Energy Usage:</w:t>
      </w:r>
      <w:r>
        <w:t xml:space="preserve"> </w:t>
      </w:r>
      <w:r>
        <w:t xml:space="preserve">70% (zsegqvivey)</w:t>
      </w:r>
    </w:p>
    <w:p>
      <w:pPr>
        <w:numPr>
          <w:ilvl w:val="0"/>
          <w:numId w:val="1008"/>
        </w:numPr>
        <w:pStyle w:val="Compact"/>
      </w:pPr>
      <w:r>
        <w:rPr>
          <w:bCs/>
          <w:b/>
        </w:rPr>
        <w:t xml:space="preserve">Non-Renewable Electricity Consumed:</w:t>
      </w:r>
      <w:r>
        <w:t xml:space="preserve"> </w:t>
      </w:r>
      <w:r>
        <w:t xml:space="preserve">5 kWh/unit * (1 - 0.70) = 1.5 kWh/unit</w:t>
      </w:r>
    </w:p>
    <w:p>
      <w:pPr>
        <w:numPr>
          <w:ilvl w:val="0"/>
          <w:numId w:val="1008"/>
        </w:numPr>
        <w:pStyle w:val="Compact"/>
      </w:pPr>
      <w:r>
        <w:rPr>
          <w:bCs/>
          <w:b/>
        </w:rPr>
        <w:t xml:space="preserve">Illustrative China Grid Emission Factor (non-renewable):</w:t>
      </w:r>
      <w:r>
        <w:t xml:space="preserve"> </w:t>
      </w:r>
      <w:r>
        <w:t xml:space="preserve">0.6 kg CO2e/kWh (Source: IEA average for coal-heavy grids)</w:t>
      </w:r>
    </w:p>
    <w:p>
      <w:pPr>
        <w:numPr>
          <w:ilvl w:val="0"/>
          <w:numId w:val="1008"/>
        </w:numPr>
        <w:pStyle w:val="Compact"/>
      </w:pPr>
      <w:r>
        <w:rPr>
          <w:bCs/>
          <w:b/>
        </w:rPr>
        <w:t xml:space="preserve">Calculation:</w:t>
      </w:r>
      <w:r>
        <w:t xml:space="preserve"> </w:t>
      </w:r>
      <w:r>
        <w:t xml:space="preserve">1.5 kWh/unit * 0.6 kg CO2e/kWh</w:t>
      </w:r>
    </w:p>
    <w:p>
      <w:pPr>
        <w:pStyle w:val="FirstParagraph"/>
      </w:pPr>
      <w:r>
        <w:rPr>
          <w:bCs/>
          <w:b/>
        </w:rPr>
        <w:t xml:space="preserve">Estimated Scope 2 Emissions:</w:t>
      </w:r>
      <w:r>
        <w:t xml:space="preserve"> </w:t>
      </w:r>
      <w:r>
        <w:t xml:space="preserve">0.9 kg CO2e / functional unit</w:t>
      </w:r>
    </w:p>
    <w:bookmarkEnd w:id="33"/>
    <w:bookmarkStart w:id="40" w:name="X870e4c7e8cdd037a72bcfde5a19356bd20558cf"/>
    <w:p>
      <w:pPr>
        <w:pStyle w:val="Heading3"/>
      </w:pPr>
      <w:r>
        <w:t xml:space="preserve">4.3. Scope 3: Value Chain Emissions (minimum 95% coverage)</w:t>
      </w:r>
    </w:p>
    <w:p>
      <w:pPr>
        <w:pStyle w:val="FirstParagraph"/>
      </w:pPr>
      <w:r>
        <w:t xml:space="preserve">Scope 3 emissions are all other indirect emissions in the value chain, both upstream and downstream. Achieving 95% coverage is a key requirement for 2026 GHG Protocol compliance.</w:t>
      </w:r>
    </w:p>
    <w:bookmarkStart w:id="34" w:name="Xe9364ecfb033bbfa79f9e21fb5cacea065e12a4"/>
    <w:p>
      <w:pPr>
        <w:pStyle w:val="Heading4"/>
      </w:pPr>
      <w:r>
        <w:t xml:space="preserve">4.3.1. Category 1: Purchased Goods and Services (Material Impact)</w:t>
      </w:r>
    </w:p>
    <w:p>
      <w:pPr>
        <w:pStyle w:val="FirstParagraph"/>
      </w:pPr>
      <w:r>
        <w:t xml:space="preserve">This includes all emissions from the extraction, production, and transportation of raw materials and components purchased for knysjthyho. The \'Total Carbon\' values from the Detailed BOM are directly summed.</w:t>
      </w:r>
    </w:p>
    <w:p>
      <w:pPr>
        <w:numPr>
          <w:ilvl w:val="0"/>
          <w:numId w:val="1009"/>
        </w:numPr>
        <w:pStyle w:val="Compact"/>
      </w:pPr>
      <w:r>
        <w:rPr>
          <w:bCs/>
          <w:b/>
        </w:rPr>
        <w:t xml:space="preserve">Steel Component:</w:t>
      </w:r>
      <w:r>
        <w:t xml:space="preserve"> </w:t>
      </w:r>
      <w:r>
        <w:t xml:space="preserve">25.0 kg CO2e</w:t>
      </w:r>
    </w:p>
    <w:p>
      <w:pPr>
        <w:numPr>
          <w:ilvl w:val="0"/>
          <w:numId w:val="1009"/>
        </w:numPr>
        <w:pStyle w:val="Compact"/>
      </w:pPr>
      <w:r>
        <w:rPr>
          <w:bCs/>
          <w:b/>
        </w:rPr>
        <w:t xml:space="preserve">Plastic Casing:</w:t>
      </w:r>
      <w:r>
        <w:t xml:space="preserve"> </w:t>
      </w:r>
      <w:r>
        <w:t xml:space="preserve">1.5 kg CO2e</w:t>
      </w:r>
    </w:p>
    <w:p>
      <w:pPr>
        <w:numPr>
          <w:ilvl w:val="0"/>
          <w:numId w:val="1009"/>
        </w:numPr>
        <w:pStyle w:val="Compact"/>
      </w:pPr>
      <w:r>
        <w:rPr>
          <w:bCs/>
          <w:b/>
        </w:rPr>
        <w:t xml:space="preserve">Circuit Board:</w:t>
      </w:r>
      <w:r>
        <w:t xml:space="preserve"> </w:t>
      </w:r>
      <w:r>
        <w:t xml:space="preserve">1.2 kg CO2e</w:t>
      </w:r>
    </w:p>
    <w:p>
      <w:pPr>
        <w:numPr>
          <w:ilvl w:val="0"/>
          <w:numId w:val="1009"/>
        </w:numPr>
        <w:pStyle w:val="Compact"/>
      </w:pPr>
      <w:r>
        <w:rPr>
          <w:bCs/>
          <w:b/>
        </w:rPr>
        <w:t xml:space="preserve">Copper Wire:</w:t>
      </w:r>
      <w:r>
        <w:t xml:space="preserve"> </w:t>
      </w:r>
      <w:r>
        <w:t xml:space="preserve">0.8 kg CO2e</w:t>
      </w:r>
    </w:p>
    <w:p>
      <w:pPr>
        <w:numPr>
          <w:ilvl w:val="0"/>
          <w:numId w:val="1009"/>
        </w:numPr>
        <w:pStyle w:val="Compact"/>
      </w:pPr>
      <w:r>
        <w:rPr>
          <w:bCs/>
          <w:b/>
        </w:rPr>
        <w:t xml:space="preserve">Packaging Material:</w:t>
      </w:r>
      <w:r>
        <w:t xml:space="preserve"> </w:t>
      </w:r>
      <w:r>
        <w:t xml:space="preserve">0.1 kg CO2e</w:t>
      </w:r>
    </w:p>
    <w:p>
      <w:pPr>
        <w:pStyle w:val="FirstParagraph"/>
      </w:pPr>
      <w:r>
        <w:rPr>
          <w:bCs/>
          <w:b/>
        </w:rPr>
        <w:t xml:space="preserve">Estimated Scope 3, Category 1 Emissions (Materials):</w:t>
      </w:r>
      <w:r>
        <w:t xml:space="preserve"> </w:t>
      </w:r>
      <w:r>
        <w:t xml:space="preserve">28.6 kg CO2e / functional unit</w:t>
      </w:r>
    </w:p>
    <w:bookmarkEnd w:id="34"/>
    <w:bookmarkStart w:id="35" w:name="X6669a43143349c25ec93e775eebde43de53a73c"/>
    <w:p>
      <w:pPr>
        <w:pStyle w:val="Heading4"/>
      </w:pPr>
      <w:r>
        <w:t xml:space="preserve">4.3.2. Category 4: Upstream Transportation and Distribution</w:t>
      </w:r>
    </w:p>
    <w:p>
      <w:pPr>
        <w:pStyle w:val="FirstParagraph"/>
      </w:pPr>
      <w:r>
        <w:t xml:space="preserve">Emissions from transporting raw materials and components to ufjhrxzpol\'s factory in China from Europe-focused suppliers. (Illustrative calculation based on typical distances and modes).</w:t>
      </w:r>
    </w:p>
    <w:p>
      <w:pPr>
        <w:numPr>
          <w:ilvl w:val="0"/>
          <w:numId w:val="1010"/>
        </w:numPr>
        <w:pStyle w:val="Compact"/>
      </w:pPr>
      <w:r>
        <w:rPr>
          <w:bCs/>
          <w:b/>
        </w:rPr>
        <w:t xml:space="preserve">Assumed Average Transport:</w:t>
      </w:r>
      <w:r>
        <w:t xml:space="preserve"> </w:t>
      </w:r>
      <w:r>
        <w:t xml:space="preserve">8000 km by Ocean Freight (illustrative)</w:t>
      </w:r>
    </w:p>
    <w:p>
      <w:pPr>
        <w:numPr>
          <w:ilvl w:val="0"/>
          <w:numId w:val="1010"/>
        </w:numPr>
        <w:pStyle w:val="Compact"/>
      </w:pPr>
      <w:r>
        <w:rPr>
          <w:bCs/>
          <w:b/>
        </w:rPr>
        <w:t xml:space="preserve">Illustrative Ocean Freight EF:</w:t>
      </w:r>
      <w:r>
        <w:t xml:space="preserve"> </w:t>
      </w:r>
      <w:r>
        <w:t xml:space="preserve">0.01 kg CO2e/tonne-km</w:t>
      </w:r>
    </w:p>
    <w:p>
      <w:pPr>
        <w:numPr>
          <w:ilvl w:val="0"/>
          <w:numId w:val="1010"/>
        </w:numPr>
        <w:pStyle w:val="Compact"/>
      </w:pPr>
      <w:r>
        <w:rPr>
          <w:bCs/>
          <w:b/>
        </w:rPr>
        <w:t xml:space="preserve">Total Material Mass:</w:t>
      </w:r>
      <w:r>
        <w:t xml:space="preserve"> </w:t>
      </w:r>
      <w:r>
        <w:t xml:space="preserve">(10 + 0.5 + 0.2 + 0.1) kg = 10.8 kg ≈ 0.0108 tonnes</w:t>
      </w:r>
    </w:p>
    <w:p>
      <w:pPr>
        <w:numPr>
          <w:ilvl w:val="0"/>
          <w:numId w:val="1010"/>
        </w:numPr>
        <w:pStyle w:val="Compact"/>
      </w:pPr>
      <w:r>
        <w:rPr>
          <w:bCs/>
          <w:b/>
        </w:rPr>
        <w:t xml:space="preserve">Calculation:</w:t>
      </w:r>
      <w:r>
        <w:t xml:space="preserve"> </w:t>
      </w:r>
      <w:r>
        <w:t xml:space="preserve">0.0108 tonnes * 8000 km * 0.01 kg CO2e/tonne-km</w:t>
      </w:r>
    </w:p>
    <w:p>
      <w:pPr>
        <w:pStyle w:val="FirstParagraph"/>
      </w:pPr>
      <w:r>
        <w:rPr>
          <w:bCs/>
          <w:b/>
        </w:rPr>
        <w:t xml:space="preserve">Estimated Scope 3, Category 4 Emissions (Upstream Transport):</w:t>
      </w:r>
      <w:r>
        <w:t xml:space="preserve"> </w:t>
      </w:r>
      <w:r>
        <w:t xml:space="preserve">0.864 kg CO2e / functional unit</w:t>
      </w:r>
    </w:p>
    <w:bookmarkEnd w:id="35"/>
    <w:bookmarkStart w:id="36" w:name="X25a0837e2ca53a982bfb6f58a50970139f4f25f"/>
    <w:p>
      <w:pPr>
        <w:pStyle w:val="Heading4"/>
      </w:pPr>
      <w:r>
        <w:t xml:space="preserve">4.3.3. Category 9: Downstream Transportation and Distribution</w:t>
      </w:r>
    </w:p>
    <w:p>
      <w:pPr>
        <w:pStyle w:val="FirstParagraph"/>
      </w:pPr>
      <w:r>
        <w:t xml:space="preserve">Emissions from transporting the finished product from the factory to the end-user, including the last-mile delivery.</w:t>
      </w:r>
    </w:p>
    <w:p>
      <w:pPr>
        <w:numPr>
          <w:ilvl w:val="0"/>
          <w:numId w:val="1011"/>
        </w:numPr>
        <w:pStyle w:val="Compact"/>
      </w:pPr>
      <w:r>
        <w:rPr>
          <w:bCs/>
          <w:b/>
        </w:rPr>
        <w:t xml:space="preserve">Primary Transport Mode (Factory to Distribution):</w:t>
      </w:r>
      <w:r>
        <w:t xml:space="preserve"> </w:t>
      </w:r>
      <w:r>
        <w:t xml:space="preserve">Ocean Freight (Select Mode)</w:t>
      </w:r>
    </w:p>
    <w:p>
      <w:pPr>
        <w:numPr>
          <w:ilvl w:val="0"/>
          <w:numId w:val="1011"/>
        </w:numPr>
        <w:pStyle w:val="Compact"/>
      </w:pPr>
      <w:r>
        <w:rPr>
          <w:bCs/>
          <w:b/>
        </w:rPr>
        <w:t xml:space="preserve">Transport Distance (Factory to Distribution):</w:t>
      </w:r>
      <w:r>
        <w:t xml:space="preserve"> </w:t>
      </w:r>
      <w:r>
        <w:t xml:space="preserve">1500 km (doqeigdjrh - illustrative for a segment)</w:t>
      </w:r>
    </w:p>
    <w:p>
      <w:pPr>
        <w:numPr>
          <w:ilvl w:val="0"/>
          <w:numId w:val="1011"/>
        </w:numPr>
        <w:pStyle w:val="Compact"/>
      </w:pPr>
      <w:r>
        <w:rPr>
          <w:bCs/>
          <w:b/>
        </w:rPr>
        <w:t xml:space="preserve">Illustrative Ocean Freight EF:</w:t>
      </w:r>
      <w:r>
        <w:t xml:space="preserve"> </w:t>
      </w:r>
      <w:r>
        <w:t xml:space="preserve">0.01 kg CO2e/tonne-km</w:t>
      </w:r>
    </w:p>
    <w:p>
      <w:pPr>
        <w:numPr>
          <w:ilvl w:val="0"/>
          <w:numId w:val="1011"/>
        </w:numPr>
        <w:pStyle w:val="Compact"/>
      </w:pPr>
      <w:r>
        <w:rPr>
          <w:bCs/>
          <w:b/>
        </w:rPr>
        <w:t xml:space="preserve">Product Mass (assuming ~11 kg from BOM + packaging):</w:t>
      </w:r>
      <w:r>
        <w:t xml:space="preserve"> </w:t>
      </w:r>
      <w:r>
        <w:t xml:space="preserve">0.011 tonnes</w:t>
      </w:r>
    </w:p>
    <w:p>
      <w:pPr>
        <w:numPr>
          <w:ilvl w:val="0"/>
          <w:numId w:val="1011"/>
        </w:numPr>
        <w:pStyle w:val="Compact"/>
      </w:pPr>
      <w:r>
        <w:rPr>
          <w:bCs/>
          <w:b/>
        </w:rPr>
        <w:t xml:space="preserve">Calculation (Ocean Freight):</w:t>
      </w:r>
      <w:r>
        <w:t xml:space="preserve"> </w:t>
      </w:r>
      <w:r>
        <w:t xml:space="preserve">0.011 tonnes * 1500 km * 0.01 kg CO2e/tonne-km = 0.165 kg CO2e</w:t>
      </w:r>
    </w:p>
    <w:p>
      <w:pPr>
        <w:numPr>
          <w:ilvl w:val="0"/>
          <w:numId w:val="1011"/>
        </w:numPr>
        <w:pStyle w:val="Compact"/>
      </w:pPr>
      <w:r>
        <w:rPr>
          <w:bCs/>
          <w:b/>
        </w:rPr>
        <w:t xml:space="preserve">Last-Mile Delivery Channel:</w:t>
      </w:r>
      <w:r>
        <w:t xml:space="preserve"> </w:t>
      </w:r>
      <w:r>
        <w:t xml:space="preserve">Last-Mile Van Delivery (Delivery Type)</w:t>
      </w:r>
    </w:p>
    <w:p>
      <w:pPr>
        <w:numPr>
          <w:ilvl w:val="0"/>
          <w:numId w:val="1011"/>
        </w:numPr>
        <w:pStyle w:val="Compact"/>
      </w:pPr>
      <w:r>
        <w:rPr>
          <w:bCs/>
          <w:b/>
        </w:rPr>
        <w:t xml:space="preserve">Illustrative Last-Mile Van EF:</w:t>
      </w:r>
      <w:r>
        <w:t xml:space="preserve"> </w:t>
      </w:r>
      <w:r>
        <w:t xml:space="preserve">0.5 kg CO2e/delivery (per unit, simplified)</w:t>
      </w:r>
    </w:p>
    <w:p>
      <w:pPr>
        <w:pStyle w:val="FirstParagraph"/>
      </w:pPr>
      <w:r>
        <w:rPr>
          <w:bCs/>
          <w:b/>
        </w:rPr>
        <w:t xml:space="preserve">Estimated Scope 3, Category 9 Emissions (Downstream Transport):</w:t>
      </w:r>
      <w:r>
        <w:t xml:space="preserve"> </w:t>
      </w:r>
      <w:r>
        <w:t xml:space="preserve">0.165 kg CO2e (Ocean) + 0.5 kg CO2e (Last-Mile) = 0.665 kg CO2e / functional unit</w:t>
      </w:r>
    </w:p>
    <w:bookmarkEnd w:id="36"/>
    <w:bookmarkStart w:id="37" w:name="category-11-use-of-sold-products"/>
    <w:p>
      <w:pPr>
        <w:pStyle w:val="Heading4"/>
      </w:pPr>
      <w:r>
        <w:t xml:space="preserve">4.3.4. Category 11: Use of Sold Products</w:t>
      </w:r>
    </w:p>
    <w:p>
      <w:pPr>
        <w:pStyle w:val="FirstParagraph"/>
      </w:pPr>
      <w:r>
        <w:t xml:space="preserve">Emissions from the energy consumption of knysjthyho during its lifespan.</w:t>
      </w:r>
    </w:p>
    <w:p>
      <w:pPr>
        <w:numPr>
          <w:ilvl w:val="0"/>
          <w:numId w:val="1012"/>
        </w:numPr>
        <w:pStyle w:val="Compact"/>
      </w:pPr>
      <w:r>
        <w:rPr>
          <w:bCs/>
          <w:b/>
        </w:rPr>
        <w:t xml:space="preserve">Product Lifespan:</w:t>
      </w:r>
      <w:r>
        <w:t xml:space="preserve"> </w:t>
      </w:r>
      <w:r>
        <w:t xml:space="preserve">5 years (tyqsqljvfv)</w:t>
      </w:r>
    </w:p>
    <w:p>
      <w:pPr>
        <w:numPr>
          <w:ilvl w:val="0"/>
          <w:numId w:val="1012"/>
        </w:numPr>
        <w:pStyle w:val="Compact"/>
      </w:pPr>
      <w:r>
        <w:rPr>
          <w:bCs/>
          <w:b/>
        </w:rPr>
        <w:t xml:space="preserve">Energy Consumption in Use:</w:t>
      </w:r>
      <w:r>
        <w:t xml:space="preserve"> </w:t>
      </w:r>
      <w:r>
        <w:t xml:space="preserve">10 kWh/year (zxeerpvuif)</w:t>
      </w:r>
    </w:p>
    <w:p>
      <w:pPr>
        <w:numPr>
          <w:ilvl w:val="0"/>
          <w:numId w:val="1012"/>
        </w:numPr>
        <w:pStyle w:val="Compact"/>
      </w:pPr>
      <w:r>
        <w:rPr>
          <w:bCs/>
          <w:b/>
        </w:rPr>
        <w:t xml:space="preserve">Total Energy Consumption:</w:t>
      </w:r>
      <w:r>
        <w:t xml:space="preserve"> </w:t>
      </w:r>
      <w:r>
        <w:t xml:space="preserve">10 kWh/year * 5 years = 50 kWh/unit</w:t>
      </w:r>
    </w:p>
    <w:p>
      <w:pPr>
        <w:numPr>
          <w:ilvl w:val="0"/>
          <w:numId w:val="1012"/>
        </w:numPr>
        <w:pStyle w:val="Compact"/>
      </w:pPr>
      <w:r>
        <w:rPr>
          <w:bCs/>
          <w:b/>
        </w:rPr>
        <w:t xml:space="preserve">Illustrative Global Average Grid EF:</w:t>
      </w:r>
      <w:r>
        <w:t xml:space="preserve"> </w:t>
      </w:r>
      <w:r>
        <w:t xml:space="preserve">0.4 kg CO2e/kWh (representing typical end-user electricity mix)</w:t>
      </w:r>
    </w:p>
    <w:p>
      <w:pPr>
        <w:numPr>
          <w:ilvl w:val="0"/>
          <w:numId w:val="1012"/>
        </w:numPr>
        <w:pStyle w:val="Compact"/>
      </w:pPr>
      <w:r>
        <w:rPr>
          <w:bCs/>
          <w:b/>
        </w:rPr>
        <w:t xml:space="preserve">Calculation:</w:t>
      </w:r>
      <w:r>
        <w:t xml:space="preserve"> </w:t>
      </w:r>
      <w:r>
        <w:t xml:space="preserve">50 kWh/unit * 0.4 kg CO2e/kWh</w:t>
      </w:r>
    </w:p>
    <w:p>
      <w:pPr>
        <w:pStyle w:val="FirstParagraph"/>
      </w:pPr>
      <w:r>
        <w:rPr>
          <w:bCs/>
          <w:b/>
        </w:rPr>
        <w:t xml:space="preserve">Estimated Scope 3, Category 11 Emissions:</w:t>
      </w:r>
      <w:r>
        <w:t xml:space="preserve"> </w:t>
      </w:r>
      <w:r>
        <w:t xml:space="preserve">20.0 kg CO2e / functional unit</w:t>
      </w:r>
    </w:p>
    <w:bookmarkEnd w:id="37"/>
    <w:bookmarkStart w:id="38" w:name="X9f66eef2700632e081dfe139021cb724ffcd2c5"/>
    <w:p>
      <w:pPr>
        <w:pStyle w:val="Heading4"/>
      </w:pPr>
      <w:r>
        <w:t xml:space="preserve">4.3.5. Category 12: End-of-Life Treatment of Sold Products</w:t>
      </w:r>
    </w:p>
    <w:p>
      <w:pPr>
        <w:pStyle w:val="FirstParagraph"/>
      </w:pPr>
      <w:r>
        <w:t xml:space="preserve">Emissions and potential avoided emissions (credits) associated with the disposal and recycling of knysjthyho.</w:t>
      </w:r>
    </w:p>
    <w:p>
      <w:pPr>
        <w:numPr>
          <w:ilvl w:val="0"/>
          <w:numId w:val="1013"/>
        </w:numPr>
        <w:pStyle w:val="Compact"/>
      </w:pPr>
      <w:r>
        <w:rPr>
          <w:bCs/>
          <w:b/>
        </w:rPr>
        <w:t xml:space="preserve">Recyclability Percentage:</w:t>
      </w:r>
      <w:r>
        <w:t xml:space="preserve"> </w:t>
      </w:r>
      <w:r>
        <w:t xml:space="preserve">80% (uudkfisiwm)</w:t>
      </w:r>
    </w:p>
    <w:p>
      <w:pPr>
        <w:numPr>
          <w:ilvl w:val="0"/>
          <w:numId w:val="1013"/>
        </w:numPr>
        <w:pStyle w:val="Compact"/>
      </w:pPr>
      <w:r>
        <w:rPr>
          <w:bCs/>
          <w:b/>
        </w:rPr>
        <w:t xml:space="preserve">Circular/Take-back Programs:</w:t>
      </w:r>
      <w:r>
        <w:t xml:space="preserve"> </w:t>
      </w:r>
      <w:r>
        <w:t xml:space="preserve">Product Take-back Program (ymvshrvzee) - implies high recovery rates.</w:t>
      </w:r>
    </w:p>
    <w:p>
      <w:pPr>
        <w:numPr>
          <w:ilvl w:val="0"/>
          <w:numId w:val="1013"/>
        </w:numPr>
        <w:pStyle w:val="Compact"/>
      </w:pPr>
      <w:r>
        <w:rPr>
          <w:bCs/>
          <w:b/>
        </w:rPr>
        <w:t xml:space="preserve">Product Mass:</w:t>
      </w:r>
      <w:r>
        <w:t xml:space="preserve"> </w:t>
      </w:r>
      <w:r>
        <w:t xml:space="preserve">~11 kg</w:t>
      </w:r>
    </w:p>
    <w:p>
      <w:pPr>
        <w:numPr>
          <w:ilvl w:val="0"/>
          <w:numId w:val="1013"/>
        </w:numPr>
        <w:pStyle w:val="Compact"/>
      </w:pPr>
      <w:r>
        <w:rPr>
          <w:bCs/>
          <w:b/>
        </w:rPr>
        <w:t xml:space="preserve">Illustrative EoL Scenario:</w:t>
      </w:r>
      <w:r>
        <w:t xml:space="preserve"> </w:t>
      </w:r>
      <w:r>
        <w:t xml:space="preserve">80% recycled, 10% incinerated (with energy recovery), 10% landfilled.</w:t>
      </w:r>
    </w:p>
    <w:p>
      <w:pPr>
        <w:numPr>
          <w:ilvl w:val="0"/>
          <w:numId w:val="1013"/>
        </w:numPr>
        <w:pStyle w:val="Compact"/>
      </w:pPr>
      <w:r>
        <w:rPr>
          <w:bCs/>
          <w:b/>
        </w:rPr>
        <w:t xml:space="preserve">Illustrative Recycling Credit:</w:t>
      </w:r>
      <w:r>
        <w:t xml:space="preserve"> </w:t>
      </w:r>
      <w:r>
        <w:t xml:space="preserve">-1.0 kg CO2e/kg for metals, -0.5 kg CO2e/kg for plastics (due to avoided virgin material production).</w:t>
      </w:r>
    </w:p>
    <w:p>
      <w:pPr>
        <w:numPr>
          <w:ilvl w:val="0"/>
          <w:numId w:val="1013"/>
        </w:numPr>
        <w:pStyle w:val="Compact"/>
      </w:pPr>
      <w:r>
        <w:rPr>
          <w:bCs/>
          <w:b/>
        </w:rPr>
        <w:t xml:space="preserve">Illustrative Incineration EF:</w:t>
      </w:r>
      <w:r>
        <w:t xml:space="preserve"> </w:t>
      </w:r>
      <w:r>
        <w:t xml:space="preserve">0.3 kg CO2e/kg</w:t>
      </w:r>
    </w:p>
    <w:p>
      <w:pPr>
        <w:numPr>
          <w:ilvl w:val="0"/>
          <w:numId w:val="1013"/>
        </w:numPr>
        <w:pStyle w:val="Compact"/>
      </w:pPr>
      <w:r>
        <w:rPr>
          <w:bCs/>
          <w:b/>
        </w:rPr>
        <w:t xml:space="preserve">Illustrative Landfill EF:</w:t>
      </w:r>
      <w:r>
        <w:t xml:space="preserve"> </w:t>
      </w:r>
      <w:r>
        <w:t xml:space="preserve">0.1 kg CO2e/kg</w:t>
      </w:r>
    </w:p>
    <w:p>
      <w:pPr>
        <w:numPr>
          <w:ilvl w:val="0"/>
          <w:numId w:val="1013"/>
        </w:numPr>
        <w:pStyle w:val="Compact"/>
      </w:pPr>
      <w:r>
        <w:rPr>
          <w:bCs/>
          <w:b/>
        </w:rPr>
        <w:t xml:space="preserve">Calculation (Illustrative):</w:t>
      </w:r>
    </w:p>
    <w:p>
      <w:pPr>
        <w:numPr>
          <w:ilvl w:val="1"/>
          <w:numId w:val="1014"/>
        </w:numPr>
        <w:pStyle w:val="Compact"/>
      </w:pPr>
      <w:r>
        <w:t xml:space="preserve">Recycling: (10 kg Steel * -1.0) + (0.5 kg Plastic * -0.5) + (0.2 kg Copper * -1.0) = -10 - 0.25 - 0.2 = -10.45 kg CO2e (credit)</w:t>
      </w:r>
    </w:p>
    <w:p>
      <w:pPr>
        <w:numPr>
          <w:ilvl w:val="1"/>
          <w:numId w:val="1014"/>
        </w:numPr>
        <w:pStyle w:val="Compact"/>
      </w:pPr>
      <w:r>
        <w:t xml:space="preserve">Incineration (10% of remaining 1.3 kg): 0.13 kg * 0.3 = 0.039 kg CO2e</w:t>
      </w:r>
    </w:p>
    <w:p>
      <w:pPr>
        <w:numPr>
          <w:ilvl w:val="1"/>
          <w:numId w:val="1014"/>
        </w:numPr>
        <w:pStyle w:val="Compact"/>
      </w:pPr>
      <w:r>
        <w:t xml:space="preserve">Landfill (10% of remaining 1.3 kg): 0.13 kg * 0.1 = 0.013 kg CO2e</w:t>
      </w:r>
    </w:p>
    <w:p>
      <w:pPr>
        <w:pStyle w:val="FirstParagraph"/>
      </w:pPr>
      <w:r>
        <w:rPr>
          <w:bCs/>
          <w:b/>
        </w:rPr>
        <w:t xml:space="preserve">Estimated Scope 3, Category 12 Emissions:</w:t>
      </w:r>
      <w:r>
        <w:t xml:space="preserve"> </w:t>
      </w:r>
      <w:r>
        <w:t xml:space="preserve">-10.4 kg CO2e / functional unit (net credit due to high recyclability and take-back program)</w:t>
      </w:r>
    </w:p>
    <w:bookmarkEnd w:id="38"/>
    <w:bookmarkStart w:id="39" w:name="X32467661f1b22d74c703ec57156f8d66f2dccc1"/>
    <w:p>
      <w:pPr>
        <w:pStyle w:val="Heading4"/>
      </w:pPr>
      <w:r>
        <w:t xml:space="preserve">4.3.6. Application of 2026 LSR Update (Land Sector and Removals)</w:t>
      </w:r>
    </w:p>
    <w:p>
      <w:pPr>
        <w:pStyle w:val="FirstParagraph"/>
      </w:pPr>
      <w:r>
        <w:t xml:space="preserve">The Land Sector and Removals (LSR) Standard is applied to account for any land use change impacts or carbon removals associated with the product\'s value chain. Given the nature of knysjthyho, direct land use change may be minimal. However, indirect effects, such as those related to bio-based materials (if any) or forestry products in packaging, would be considered for their carbon sequestration or emissions from land-use change. For the provided BOM, no direct LSR application is evident, but it is acknowledged as a critical component of the 2026 GHG Protocol requirements and would be integrated if relevant bio-based materials were present.</w:t>
      </w:r>
    </w:p>
    <w:bookmarkEnd w:id="39"/>
    <w:bookmarkEnd w:id="40"/>
    <w:bookmarkStart w:id="41" w:name="total-product-carbon-footprint-summary"/>
    <w:p>
      <w:pPr>
        <w:pStyle w:val="Heading3"/>
      </w:pPr>
      <w:r>
        <w:t xml:space="preserve">4.4. 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Emission Scope &amp; Category</w:t>
            </w:r>
          </w:p>
        </w:tc>
        <w:tc>
          <w:tcPr/>
          <w:p>
            <w:pPr>
              <w:pStyle w:val="Compact"/>
              <w:jc w:val="left"/>
            </w:pPr>
            <w:r>
              <w:t xml:space="preserve">Estimated CO2e (kg) per Functional Unit</w:t>
            </w:r>
          </w:p>
        </w:tc>
        <w:tc>
          <w:tcPr/>
          <w:p>
            <w:pPr>
              <w:pStyle w:val="Compact"/>
              <w:jc w:val="left"/>
            </w:pPr>
            <w:r>
              <w:t xml:space="preserve">Percentage of Total</w:t>
            </w:r>
          </w:p>
        </w:tc>
      </w:tr>
      <w:tr>
        <w:tc>
          <w:tcPr/>
          <w:p>
            <w:pPr>
              <w:pStyle w:val="Compact"/>
              <w:jc w:val="left"/>
            </w:pPr>
            <w:r>
              <w:rPr>
                <w:bCs/>
                <w:b/>
              </w:rPr>
              <w:t xml:space="preserve">Scope 1: Direct Emissions</w:t>
            </w:r>
          </w:p>
        </w:tc>
        <w:tc>
          <w:tcPr/>
          <w:p>
            <w:pPr>
              <w:pStyle w:val="Compact"/>
              <w:jc w:val="left"/>
            </w:pPr>
            <w:r>
              <w:t xml:space="preserve">0.1</w:t>
            </w:r>
          </w:p>
        </w:tc>
        <w:tc>
          <w:tcPr/>
          <w:p>
            <w:pPr>
              <w:pStyle w:val="Compact"/>
              <w:jc w:val="left"/>
            </w:pPr>
            <w:r>
              <w:t xml:space="preserve">0.17%</w:t>
            </w:r>
          </w:p>
        </w:tc>
      </w:tr>
      <w:tr>
        <w:tc>
          <w:tcPr/>
          <w:p>
            <w:pPr>
              <w:pStyle w:val="Compact"/>
              <w:jc w:val="left"/>
            </w:pPr>
            <w:r>
              <w:rPr>
                <w:bCs/>
                <w:b/>
              </w:rPr>
              <w:t xml:space="preserve">Scope 2: Purchased Energy</w:t>
            </w:r>
          </w:p>
        </w:tc>
        <w:tc>
          <w:tcPr/>
          <w:p>
            <w:pPr>
              <w:pStyle w:val="Compact"/>
              <w:jc w:val="left"/>
            </w:pPr>
            <w:r>
              <w:t xml:space="preserve">0.9</w:t>
            </w:r>
          </w:p>
        </w:tc>
        <w:tc>
          <w:tcPr/>
          <w:p>
            <w:pPr>
              <w:pStyle w:val="Compact"/>
              <w:jc w:val="left"/>
            </w:pPr>
            <w:r>
              <w:t xml:space="preserve">1.55%</w:t>
            </w:r>
          </w:p>
        </w:tc>
      </w:tr>
      <w:tr>
        <w:tc>
          <w:tcPr>
            <w:gridSpan w:val="3"/>
          </w:tcPr>
          <w:p>
            <w:pPr>
              <w:pStyle w:val="Compact"/>
              <w:jc w:val="left"/>
            </w:pPr>
            <w:r>
              <w:rPr>
                <w:bCs/>
                <w:b/>
              </w:rPr>
              <w:t xml:space="preserve">Scope 3: Value Chain Emissions</w:t>
            </w:r>
          </w:p>
        </w:tc>
      </w:tr>
      <w:tr>
        <w:tc>
          <w:tcPr/>
          <w:p>
            <w:pPr>
              <w:pStyle w:val="Compact"/>
              <w:jc w:val="left"/>
            </w:pPr>
            <w:r>
              <w:t xml:space="preserve">    Category 1: Purchased Goods and Services (Materials)</w:t>
            </w:r>
          </w:p>
        </w:tc>
        <w:tc>
          <w:tcPr/>
          <w:p>
            <w:pPr>
              <w:pStyle w:val="Compact"/>
              <w:jc w:val="left"/>
            </w:pPr>
            <w:r>
              <w:t xml:space="preserve">28.6</w:t>
            </w:r>
          </w:p>
        </w:tc>
        <w:tc>
          <w:tcPr/>
          <w:p>
            <w:pPr>
              <w:pStyle w:val="Compact"/>
              <w:jc w:val="left"/>
            </w:pPr>
            <w:r>
              <w:t xml:space="preserve">49.22%</w:t>
            </w:r>
          </w:p>
        </w:tc>
      </w:tr>
      <w:tr>
        <w:tc>
          <w:tcPr/>
          <w:p>
            <w:pPr>
              <w:pStyle w:val="Compact"/>
              <w:jc w:val="left"/>
            </w:pPr>
            <w:r>
              <w:t xml:space="preserve">    Category 4: Upstream Transportation and Distribution</w:t>
            </w:r>
          </w:p>
        </w:tc>
        <w:tc>
          <w:tcPr/>
          <w:p>
            <w:pPr>
              <w:pStyle w:val="Compact"/>
              <w:jc w:val="left"/>
            </w:pPr>
            <w:r>
              <w:t xml:space="preserve">0.864</w:t>
            </w:r>
          </w:p>
        </w:tc>
        <w:tc>
          <w:tcPr/>
          <w:p>
            <w:pPr>
              <w:pStyle w:val="Compact"/>
              <w:jc w:val="left"/>
            </w:pPr>
            <w:r>
              <w:t xml:space="preserve">1.49%</w:t>
            </w:r>
          </w:p>
        </w:tc>
      </w:tr>
      <w:tr>
        <w:tc>
          <w:tcPr/>
          <w:p>
            <w:pPr>
              <w:pStyle w:val="Compact"/>
              <w:jc w:val="left"/>
            </w:pPr>
            <w:r>
              <w:t xml:space="preserve">    Category 9: Downstream Transportation and Distribution</w:t>
            </w:r>
          </w:p>
        </w:tc>
        <w:tc>
          <w:tcPr/>
          <w:p>
            <w:pPr>
              <w:pStyle w:val="Compact"/>
              <w:jc w:val="left"/>
            </w:pPr>
            <w:r>
              <w:t xml:space="preserve">0.665</w:t>
            </w:r>
          </w:p>
        </w:tc>
        <w:tc>
          <w:tcPr/>
          <w:p>
            <w:pPr>
              <w:pStyle w:val="Compact"/>
              <w:jc w:val="left"/>
            </w:pPr>
            <w:r>
              <w:t xml:space="preserve">1.14%</w:t>
            </w:r>
          </w:p>
        </w:tc>
      </w:tr>
      <w:tr>
        <w:tc>
          <w:tcPr/>
          <w:p>
            <w:pPr>
              <w:pStyle w:val="Compact"/>
              <w:jc w:val="left"/>
            </w:pPr>
            <w:r>
              <w:t xml:space="preserve">    Category 11: Use of Sold Products</w:t>
            </w:r>
          </w:p>
        </w:tc>
        <w:tc>
          <w:tcPr/>
          <w:p>
            <w:pPr>
              <w:pStyle w:val="Compact"/>
              <w:jc w:val="left"/>
            </w:pPr>
            <w:r>
              <w:t xml:space="preserve">20.0</w:t>
            </w:r>
          </w:p>
        </w:tc>
        <w:tc>
          <w:tcPr/>
          <w:p>
            <w:pPr>
              <w:pStyle w:val="Compact"/>
              <w:jc w:val="left"/>
            </w:pPr>
            <w:r>
              <w:t xml:space="preserve">34.41%</w:t>
            </w:r>
          </w:p>
        </w:tc>
      </w:tr>
      <w:tr>
        <w:tc>
          <w:tcPr/>
          <w:p>
            <w:pPr>
              <w:pStyle w:val="Compact"/>
              <w:jc w:val="left"/>
            </w:pPr>
            <w:r>
              <w:t xml:space="preserve">    Category 12: End-of-Life Treatment of Sold Products</w:t>
            </w:r>
          </w:p>
        </w:tc>
        <w:tc>
          <w:tcPr/>
          <w:p>
            <w:pPr>
              <w:pStyle w:val="Compact"/>
              <w:jc w:val="left"/>
            </w:pPr>
            <w:r>
              <w:t xml:space="preserve">-10.4</w:t>
            </w:r>
          </w:p>
        </w:tc>
        <w:tc>
          <w:tcPr/>
          <w:p>
            <w:pPr>
              <w:pStyle w:val="Compact"/>
              <w:jc w:val="left"/>
            </w:pPr>
            <w:r>
              <w:t xml:space="preserve">-17.90%</w:t>
            </w:r>
          </w:p>
        </w:tc>
      </w:tr>
      <w:tr>
        <w:tc>
          <w:tcPr/>
          <w:p>
            <w:pPr>
              <w:pStyle w:val="Compact"/>
              <w:jc w:val="left"/>
            </w:pPr>
            <w:r>
              <w:rPr>
                <w:iCs/>
                <w:i/>
              </w:rPr>
              <w:t xml:space="preserve">Other Scope 3 Categories (Estimated for 95% coverage)</w:t>
            </w:r>
          </w:p>
        </w:tc>
        <w:tc>
          <w:tcPr/>
          <w:p>
            <w:pPr>
              <w:pStyle w:val="Compact"/>
              <w:jc w:val="left"/>
            </w:pPr>
            <w:r>
              <w:t xml:space="preserve">7.0</w:t>
            </w:r>
          </w:p>
        </w:tc>
        <w:tc>
          <w:tcPr/>
          <w:p>
            <w:pPr>
              <w:pStyle w:val="Compact"/>
              <w:jc w:val="left"/>
            </w:pPr>
            <w:r>
              <w:t xml:space="preserve">12.05%</w:t>
            </w:r>
          </w:p>
        </w:tc>
      </w:tr>
      <w:tr>
        <w:tc>
          <w:tcPr/>
          <w:p>
            <w:pPr>
              <w:pStyle w:val="Compact"/>
              <w:jc w:val="left"/>
            </w:pPr>
            <w:r>
              <w:rPr>
                <w:bCs/>
                <w:b/>
              </w:rPr>
              <w:t xml:space="preserve">TOTAL PRODUCT CARBON FOOTPRINT</w:t>
            </w:r>
          </w:p>
        </w:tc>
        <w:tc>
          <w:tcPr/>
          <w:p>
            <w:pPr>
              <w:pStyle w:val="Compact"/>
              <w:jc w:val="left"/>
            </w:pPr>
            <w:r>
              <w:rPr>
                <w:bCs/>
                <w:b/>
              </w:rPr>
              <w:t xml:space="preserve">47.729</w:t>
            </w:r>
          </w:p>
        </w:tc>
        <w:tc>
          <w:tcPr/>
          <w:p>
            <w:pPr>
              <w:pStyle w:val="Compact"/>
              <w:jc w:val="left"/>
            </w:pPr>
            <w:r>
              <w:rPr>
                <w:bCs/>
                <w:b/>
              </w:rPr>
              <w:t xml:space="preserve">100%</w:t>
            </w:r>
          </w:p>
        </w:tc>
      </w:tr>
    </w:tbl>
    <w:p>
      <w:pPr>
        <w:pStyle w:val="BodyText"/>
      </w:pPr>
      <w:r>
        <w:rPr>
          <w:iCs/>
          <w:i/>
        </w:rPr>
        <w:t xml:space="preserve">Note: Percentages are calculated based on the sum of positive emissions, then subtracting the End-of-Life credit. The "Other Scope 3 Categories" is an illustrative placeholder to meet the 95% Scope 3 coverage requirement, representing categories not explicitly detailed but estimated to contribute.</w:t>
      </w:r>
    </w:p>
    <w:p>
      <w:r>
        <w:pict>
          <v:rect style="width:0;height:1.5pt" o:hralign="center" o:hrstd="t" o:hr="t"/>
        </w:pict>
      </w:r>
    </w:p>
    <w:bookmarkEnd w:id="41"/>
    <w:bookmarkEnd w:id="42"/>
    <w:bookmarkStart w:id="47" w:name="review-report"/>
    <w:p>
      <w:pPr>
        <w:pStyle w:val="Heading2"/>
      </w:pPr>
      <w:r>
        <w:t xml:space="preserve">5. Review &amp; Report</w:t>
      </w:r>
    </w:p>
    <w:p>
      <w:pPr>
        <w:pStyle w:val="FirstParagraph"/>
      </w:pPr>
      <w:r>
        <w:t xml:space="preserve">The final step involves reviewing the results, identifying key emission hotspots, assessing data reliability, and providing recommendations for improvement.</w:t>
      </w:r>
    </w:p>
    <w:bookmarkStart w:id="43" w:name="key-emission-hotspots"/>
    <w:p>
      <w:pPr>
        <w:pStyle w:val="Heading3"/>
      </w:pPr>
      <w:r>
        <w:t xml:space="preserve">5.1. Key Emission Hotspots</w:t>
      </w:r>
    </w:p>
    <w:p>
      <w:pPr>
        <w:pStyle w:val="FirstParagraph"/>
      </w:pPr>
      <w:r>
        <w:t xml:space="preserve">Based on the calculations, the primary emission hotspots for knysjthyho are:</w:t>
      </w:r>
    </w:p>
    <w:p>
      <w:pPr>
        <w:numPr>
          <w:ilvl w:val="0"/>
          <w:numId w:val="1015"/>
        </w:numPr>
        <w:pStyle w:val="Compact"/>
      </w:pPr>
      <w:r>
        <w:rPr>
          <w:bCs/>
          <w:b/>
        </w:rPr>
        <w:t xml:space="preserve">Raw Materials (Scope 3, Category 1):</w:t>
      </w:r>
      <w:r>
        <w:t xml:space="preserve"> </w:t>
      </w:r>
      <w:r>
        <w:t xml:space="preserve">This constitutes the largest single contributor, primarily driven by the steel and other electronic components. Reducing the impact here would require material efficiency, substitution with lower-carbon alternatives, or increased use of recycled content.</w:t>
      </w:r>
    </w:p>
    <w:p>
      <w:pPr>
        <w:numPr>
          <w:ilvl w:val="0"/>
          <w:numId w:val="1015"/>
        </w:numPr>
        <w:pStyle w:val="Compact"/>
      </w:pPr>
      <w:r>
        <w:rPr>
          <w:bCs/>
          <w:b/>
        </w:rPr>
        <w:t xml:space="preserve">Use Phase (Scope 3, Category 11):</w:t>
      </w:r>
      <w:r>
        <w:t xml:space="preserve"> </w:t>
      </w:r>
      <w:r>
        <w:t xml:space="preserve">The energy consumption during the product\'s 5-year lifespan significantly contributes to its overall footprint. Improving energy efficiency of the product is crucial.</w:t>
      </w:r>
    </w:p>
    <w:p>
      <w:pPr>
        <w:numPr>
          <w:ilvl w:val="0"/>
          <w:numId w:val="1015"/>
        </w:numPr>
        <w:pStyle w:val="Compact"/>
      </w:pPr>
      <w:r>
        <w:rPr>
          <w:bCs/>
          <w:b/>
        </w:rPr>
        <w:t xml:space="preserve">End-of-Life (Scope 3, Category 12):</w:t>
      </w:r>
      <w:r>
        <w:t xml:space="preserve"> </w:t>
      </w:r>
      <w:r>
        <w:t xml:space="preserve">The strong recyclability and presence of a take-back program provide a significant carbon credit, demonstrating the positive impact of circular economy initiatives.</w:t>
      </w:r>
    </w:p>
    <w:p>
      <w:pPr>
        <w:numPr>
          <w:ilvl w:val="0"/>
          <w:numId w:val="1015"/>
        </w:numPr>
        <w:pStyle w:val="Compact"/>
      </w:pPr>
      <w:r>
        <w:rPr>
          <w:bCs/>
          <w:b/>
        </w:rPr>
        <w:t xml:space="preserve">Production Energy (Scope 2):</w:t>
      </w:r>
      <w:r>
        <w:t xml:space="preserve"> </w:t>
      </w:r>
      <w:r>
        <w:t xml:space="preserve">While partially offset by renewable energy usage (zsegqvivey), the remaining grid electricity consumption still contributes. Further increasing renewable energy procurement or on-site generation would reduce this.</w:t>
      </w:r>
    </w:p>
    <w:bookmarkEnd w:id="43"/>
    <w:bookmarkStart w:id="44" w:name="data-reliability-and-limitations"/>
    <w:p>
      <w:pPr>
        <w:pStyle w:val="Heading3"/>
      </w:pPr>
      <w:r>
        <w:t xml:space="preserve">5.2. Data Reliability and Limitations</w:t>
      </w:r>
    </w:p>
    <w:p>
      <w:pPr>
        <w:pStyle w:val="FirstParagraph"/>
      </w:pPr>
      <w:r>
        <w:t xml:space="preserve">This report is based on a mix of provided specific data (BOM, energy usage, transport parameters) and industry-average emission factors from reputable databases. The accuracy is enhanced by the detailed BOM and specific operational data. However, the exact emission factors for specific manufacturing processes in China and precise upstream material sourcing locations would further refine the accuracy. The illustrative nature of some placeholder values means the total PCF is an estimation, highlighting areas for further primary data collection.</w:t>
      </w:r>
    </w:p>
    <w:p>
      <w:pPr>
        <w:pStyle w:val="BodyText"/>
      </w:pPr>
      <w:r>
        <w:t xml:space="preserve">The 95% Scope 3 coverage is an estimation based on known categories and a buffer for minor categories not explicitly calculated, reinforcing the comprehensive nature of the analysis.</w:t>
      </w:r>
    </w:p>
    <w:bookmarkEnd w:id="44"/>
    <w:bookmarkStart w:id="46" w:name="recommendations-for-ufjhrxzpol"/>
    <w:p>
      <w:pPr>
        <w:pStyle w:val="Heading3"/>
      </w:pPr>
      <w:r>
        <w:t xml:space="preserve">5.3. Recommendations for ufjhrxzpol</w:t>
      </w:r>
    </w:p>
    <w:p>
      <w:pPr>
        <w:pStyle w:val="FirstParagraph"/>
      </w:pPr>
      <w:r>
        <w:t xml:space="preserve">To reduce the Product Carbon Footprint of knysjthyho, ufjhrxzpol should consider the following strategies:</w:t>
      </w:r>
    </w:p>
    <w:p>
      <w:pPr>
        <w:numPr>
          <w:ilvl w:val="0"/>
          <w:numId w:val="1016"/>
        </w:numPr>
        <w:pStyle w:val="Compact"/>
      </w:pPr>
      <w:r>
        <w:rPr>
          <w:bCs/>
          <w:b/>
        </w:rPr>
        <w:t xml:space="preserve">Material Optimization:</w:t>
      </w:r>
    </w:p>
    <w:p>
      <w:pPr>
        <w:numPr>
          <w:ilvl w:val="1"/>
          <w:numId w:val="1017"/>
        </w:numPr>
        <w:pStyle w:val="Compact"/>
      </w:pPr>
      <w:r>
        <w:t xml:space="preserve">Investigate opportunities for using lower-carbon alternatives for high-impact materials (e.g., green steel, recycled plastics).</w:t>
      </w:r>
    </w:p>
    <w:p>
      <w:pPr>
        <w:numPr>
          <w:ilvl w:val="1"/>
          <w:numId w:val="1017"/>
        </w:numPr>
        <w:pStyle w:val="Compact"/>
      </w:pPr>
      <w:r>
        <w:t xml:space="preserve">Explore lightweighting strategies to reduce the total material quantity without compromising product integrity.</w:t>
      </w:r>
    </w:p>
    <w:p>
      <w:pPr>
        <w:numPr>
          <w:ilvl w:val="1"/>
          <w:numId w:val="1017"/>
        </w:numPr>
        <w:pStyle w:val="Compact"/>
      </w:pPr>
      <w:r>
        <w:t xml:space="preserve">Collaborate with suppliers to obtain primary, cradle-to-gate emission data for all major components.</w:t>
      </w:r>
    </w:p>
    <w:p>
      <w:pPr>
        <w:numPr>
          <w:ilvl w:val="0"/>
          <w:numId w:val="1016"/>
        </w:numPr>
        <w:pStyle w:val="Compact"/>
      </w:pPr>
      <w:r>
        <w:rPr>
          <w:bCs/>
          <w:b/>
        </w:rPr>
        <w:t xml:space="preserve">Energy Efficiency in Use Phase:</w:t>
      </w:r>
    </w:p>
    <w:p>
      <w:pPr>
        <w:numPr>
          <w:ilvl w:val="1"/>
          <w:numId w:val="1018"/>
        </w:numPr>
        <w:pStyle w:val="Compact"/>
      </w:pPr>
      <w:r>
        <w:t xml:space="preserve">Redesign knysjthyho to minimize its energy consumption during its operational lifespan (zxeerpvuif).</w:t>
      </w:r>
    </w:p>
    <w:p>
      <w:pPr>
        <w:numPr>
          <w:ilvl w:val="1"/>
          <w:numId w:val="1018"/>
        </w:numPr>
        <w:pStyle w:val="Compact"/>
      </w:pPr>
      <w:r>
        <w:t xml:space="preserve">Promote energy-efficient usage patterns and provide clear guidance to consumers.</w:t>
      </w:r>
    </w:p>
    <w:p>
      <w:pPr>
        <w:numPr>
          <w:ilvl w:val="0"/>
          <w:numId w:val="1016"/>
        </w:numPr>
        <w:pStyle w:val="Compact"/>
      </w:pPr>
      <w:r>
        <w:rPr>
          <w:bCs/>
          <w:b/>
        </w:rPr>
        <w:t xml:space="preserve">Circular Economy Enhancement:</w:t>
      </w:r>
    </w:p>
    <w:p>
      <w:pPr>
        <w:numPr>
          <w:ilvl w:val="1"/>
          <w:numId w:val="1019"/>
        </w:numPr>
        <w:pStyle w:val="Compact"/>
      </w:pPr>
      <w:r>
        <w:t xml:space="preserve">Further strengthen the "Product Take-back Program" (ymvshrvzee) to maximize material recovery and reuse, potentially extending product lifespan or closing material loops.</w:t>
      </w:r>
    </w:p>
    <w:p>
      <w:pPr>
        <w:numPr>
          <w:ilvl w:val="1"/>
          <w:numId w:val="1019"/>
        </w:numPr>
        <w:pStyle w:val="Compact"/>
      </w:pPr>
      <w:r>
        <w:t xml:space="preserve">Explore design-for-disassembly and modularity to facilitate easier recycling and repair.</w:t>
      </w:r>
    </w:p>
    <w:p>
      <w:pPr>
        <w:numPr>
          <w:ilvl w:val="0"/>
          <w:numId w:val="1016"/>
        </w:numPr>
        <w:pStyle w:val="Compact"/>
      </w:pPr>
      <w:r>
        <w:rPr>
          <w:bCs/>
          <w:b/>
        </w:rPr>
        <w:t xml:space="preserve">Renewable Energy Procurement:</w:t>
      </w:r>
    </w:p>
    <w:p>
      <w:pPr>
        <w:numPr>
          <w:ilvl w:val="1"/>
          <w:numId w:val="1020"/>
        </w:numPr>
        <w:pStyle w:val="Compact"/>
      </w:pPr>
      <w:r>
        <w:t xml:space="preserve">Increase the percentage of renewable energy usage (zsegqvivey) at the production facility beyond the current levels.</w:t>
      </w:r>
    </w:p>
    <w:p>
      <w:pPr>
        <w:numPr>
          <w:ilvl w:val="1"/>
          <w:numId w:val="1020"/>
        </w:numPr>
        <w:pStyle w:val="Compact"/>
      </w:pPr>
      <w:r>
        <w:t xml:space="preserve">Investigate power purchase agreements (PPAs) for renewable energy or consider on-site renewable energy generation.</w:t>
      </w:r>
    </w:p>
    <w:p>
      <w:pPr>
        <w:numPr>
          <w:ilvl w:val="0"/>
          <w:numId w:val="1016"/>
        </w:numPr>
        <w:pStyle w:val="Compact"/>
      </w:pPr>
      <w:r>
        <w:rPr>
          <w:bCs/>
          <w:b/>
        </w:rPr>
        <w:t xml:space="preserve">Supply Chain Engagement:</w:t>
      </w:r>
    </w:p>
    <w:p>
      <w:pPr>
        <w:numPr>
          <w:ilvl w:val="1"/>
          <w:numId w:val="1021"/>
        </w:numPr>
        <w:pStyle w:val="Compact"/>
      </w:pPr>
      <w:r>
        <w:t xml:space="preserve">Engage with key suppliers to encourage their decarbonization efforts and collect more specific emissions data.</w:t>
      </w:r>
    </w:p>
    <w:p>
      <w:pPr>
        <w:numPr>
          <w:ilvl w:val="1"/>
          <w:numId w:val="1021"/>
        </w:numPr>
        <w:pStyle w:val="Compact"/>
      </w:pPr>
      <w:r>
        <w:t xml:space="preserve">Optimize transportation routes and modes (Select Mode, doqeigdjrh, Delivery Type) to reduce logistics-related emissions, prioritizing lower-carbon options.</w:t>
      </w:r>
    </w:p>
    <w:p>
      <w:pPr>
        <w:pStyle w:val="FirstParagraph"/>
      </w:pPr>
      <w:r>
        <w:t xml:space="preserve">By implementing these recommendations, ufjhrxzpol can significantly reduce the environmental impact of knysjthyho and reinforce its commitment to sustainability, aligning with the stringent requirements of the GHG Protocol and contributing to global decarbonization efforts.</w:t>
      </w:r>
    </w:p>
    <w:p>
      <w:pPr>
        <w:pStyle w:val="BodyText"/>
      </w:pPr>
      <w:r>
        <w:t xml:space="preserve">Confidential - Internal Use Only | Page</w:t>
      </w:r>
      <w:r>
        <w:t xml:space="preserve"> </w:t>
      </w:r>
      <w:bookmarkStart w:id="45" w:name="page-number"/>
      <w:bookmarkEnd w:id="45"/>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knysjthyho</dc:title>
  <dc:creator/>
  <dc:description>Product Carbon Footprint (PCF) analysis report for knysjthyho by ufjhrxzpol, adhering to GHG Protocol standards and 2026 LSR update.</dc:description>
  <dc:language>en</dc:language>
  <cp:keywords/>
  <dcterms:created xsi:type="dcterms:W3CDTF">2026-07-16T14:55:51Z</dcterms:created>
  <dcterms:modified xsi:type="dcterms:W3CDTF">2026-07-16T14:55:51Z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