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kniflzitui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kniflzitui</w:t>
      </w:r>
    </w:p>
    <w:p>
      <w:pPr>
        <w:pStyle w:val="BodyText"/>
      </w:pPr>
      <w:r>
        <w:rPr>
          <w:bCs/>
          <w:b/>
        </w:rPr>
        <w:t xml:space="preserve">Company Name:</w:t>
      </w:r>
      <w:r>
        <w:t xml:space="preserve"> </w:t>
      </w:r>
      <w:r>
        <w:t xml:space="preserve">ffzqmgyddh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jkguknmmuz</w:t>
      </w:r>
    </w:p>
    <w:p>
      <w:pPr>
        <w:pStyle w:val="BodyText"/>
      </w:pPr>
      <w:r>
        <w:t xml:space="preserve">This report is generated based on available data and industry standards, including specific parameters provided.</w:t>
      </w:r>
      <w:r>
        <w:t xml:space="preserve"> </w:t>
      </w:r>
      <w:r>
        <w:t xml:space="preserve">It provides an estimation of the Product Carbon Footprint for kniflzitui.</w:t>
      </w:r>
    </w:p>
    <w:bookmarkEnd w:id="20"/>
    <w:p>
      <w:pPr>
        <w:pStyle w:val="BodyText"/>
      </w:pPr>
      <w:r>
        <w:t xml:space="preserve">Generated Date: May 20, 2026</w:t>
      </w:r>
    </w:p>
    <w:bookmarkStart w:id="56" w:name="Xe6420119504b91475cf25b2c864c469b8db4684"/>
    <w:p>
      <w:pPr>
        <w:pStyle w:val="Heading1"/>
      </w:pPr>
      <w:r>
        <w:t xml:space="preserve">Product Carbon Footprint Analysis for kniflzitui</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details the Product Carbon Footprint (PCF) analysis for kniflzitui, manufactured by ffzqmgyddh. The assessment adheres to the GHG Protocol standards, categorizing emissions across Scope 1, Scope 2, and Scope 3, with particular emphasis on achieving over 95% Scope 3 coverage in line with 2026 requirements. The analysis covers the entire product lifecycle from raw material acquisition (cradle) to end-of-life (grave), with a system boundary set at the factory gate for the primary production phase, complemented by comprehensive upstream and downstream Scope 3 evaluations. Key findings highlight material procurement and the use phase as significant emission hotspots, while renewable energy integration and circular economy initiatives demonstrate potential for impact reduction. This report aims to provide actionable insights for ffzqmgyddh to enhance its sustainability performance.</w:t>
      </w:r>
    </w:p>
    <w:p>
      <w:r>
        <w:pict>
          <v:rect style="width:0;height:1.5pt" o:hralign="center" o:hrstd="t" o:hr="t"/>
        </w:pict>
      </w:r>
    </w:p>
    <w:bookmarkEnd w:id="21"/>
    <w:bookmarkStart w:id="27" w:name="methodology-and-scope-definition"/>
    <w:p>
      <w:pPr>
        <w:pStyle w:val="Heading2"/>
      </w:pPr>
      <w:r>
        <w:t xml:space="preserve">1. Methodology and Scope Definition</w:t>
      </w:r>
    </w:p>
    <w:p>
      <w:pPr>
        <w:pStyle w:val="FirstParagraph"/>
      </w:pPr>
      <w:r>
        <w:t xml:space="preserve">The Product Carbon Footprint (PCF) for kniflzitui has been calculated following the Greenhouse Gas (GHG) Protocol Product Standard. This methodology ensures a consistent, transparent, and comprehensive assessment of greenhouse gas emissions throughout the product\'s lifecycle.</w:t>
      </w:r>
    </w:p>
    <w:bookmarkStart w:id="22" w:name="functional-unit"/>
    <w:p>
      <w:pPr>
        <w:pStyle w:val="Heading3"/>
      </w:pPr>
      <w:r>
        <w:t xml:space="preserve">1.1. Functional Unit</w:t>
      </w:r>
    </w:p>
    <w:p>
      <w:pPr>
        <w:numPr>
          <w:ilvl w:val="0"/>
          <w:numId w:val="1001"/>
        </w:numPr>
        <w:pStyle w:val="Compact"/>
      </w:pPr>
      <w:r>
        <w:rPr>
          <w:bCs/>
          <w:b/>
        </w:rPr>
        <w:t xml:space="preserve">Functional Unit:</w:t>
      </w:r>
      <w:r>
        <w:t xml:space="preserve"> </w:t>
      </w:r>
      <w:r>
        <w:t xml:space="preserve">1.0 unit of kniflzitui</w:t>
      </w:r>
    </w:p>
    <w:p>
      <w:pPr>
        <w:numPr>
          <w:ilvl w:val="0"/>
          <w:numId w:val="1001"/>
        </w:numPr>
        <w:pStyle w:val="Compact"/>
      </w:pPr>
      <w:r>
        <w:t xml:space="preserve">This functional unit serves as the reference flow to which all input and output data are normalized, allowing for a standardized comparison of environmental impacts.</w:t>
      </w:r>
    </w:p>
    <w:bookmarkEnd w:id="22"/>
    <w:bookmarkStart w:id="23" w:name="system-boundary"/>
    <w:p>
      <w:pPr>
        <w:pStyle w:val="Heading3"/>
      </w:pPr>
      <w:r>
        <w:t xml:space="preserve">1.2. System Boundary</w:t>
      </w:r>
    </w:p>
    <w:p>
      <w:pPr>
        <w:numPr>
          <w:ilvl w:val="0"/>
          <w:numId w:val="1002"/>
        </w:numPr>
        <w:pStyle w:val="Compact"/>
      </w:pPr>
      <w:r>
        <w:rPr>
          <w:bCs/>
          <w:b/>
        </w:rPr>
        <w:t xml:space="preserve">System Boundary:</w:t>
      </w:r>
      <w:r>
        <w:t xml:space="preserve"> </w:t>
      </w:r>
      <w:r>
        <w:t xml:space="preserve">factory_gate (excluding use and end-of-life for primary Scope 1 &amp; 2 boundary, but included for full Scope 3 assessment).</w:t>
      </w:r>
    </w:p>
    <w:p>
      <w:pPr>
        <w:numPr>
          <w:ilvl w:val="0"/>
          <w:numId w:val="1002"/>
        </w:numPr>
        <w:pStyle w:val="Compact"/>
      </w:pPr>
      <w:r>
        <w:t xml:space="preserve">The analysis encompasses a "cradle-to-grave" perspective, covering all stages from raw material extraction, through manufacturing, transport, distribution, product use, and ultimately, end-of-life disposal or recycling. While the system boundary for direct reporting is factory_gate, the full lifecycle for Scope 3 assessment is performed.</w:t>
      </w:r>
    </w:p>
    <w:bookmarkEnd w:id="23"/>
    <w:bookmarkStart w:id="24" w:name="geographic-scope"/>
    <w:p>
      <w:pPr>
        <w:pStyle w:val="Heading3"/>
      </w:pPr>
      <w:r>
        <w:t xml:space="preserve">1.3. 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numPr>
          <w:ilvl w:val="0"/>
          <w:numId w:val="1003"/>
        </w:numPr>
        <w:pStyle w:val="Compact"/>
      </w:pPr>
      <w:r>
        <w:t xml:space="preserve">The geographic scope acknowledges the global nature of supply chains, with raw materials and components primarily sourced with a focus on Europe before final assembly and production in China. This influences the choice of relevant emission factors for regional electricity grids and transportation.</w:t>
      </w:r>
    </w:p>
    <w:bookmarkEnd w:id="24"/>
    <w:bookmarkStart w:id="25" w:name="accounting-standard"/>
    <w:p>
      <w:pPr>
        <w:pStyle w:val="Heading3"/>
      </w:pPr>
      <w:r>
        <w:t xml:space="preserve">1.4. Accounting Standard</w:t>
      </w:r>
    </w:p>
    <w:p>
      <w:pPr>
        <w:numPr>
          <w:ilvl w:val="0"/>
          <w:numId w:val="1004"/>
        </w:numPr>
        <w:pStyle w:val="Compact"/>
      </w:pPr>
      <w:r>
        <w:rPr>
          <w:bCs/>
          <w:b/>
        </w:rPr>
        <w:t xml:space="preserve">Accounting Standard:</w:t>
      </w:r>
      <w:r>
        <w:t xml:space="preserve"> </w:t>
      </w:r>
      <w:r>
        <w:t xml:space="preserve">GHG Protocol</w:t>
      </w:r>
    </w:p>
    <w:p>
      <w:pPr>
        <w:numPr>
          <w:ilvl w:val="0"/>
          <w:numId w:val="1004"/>
        </w:numPr>
        <w:pStyle w:val="Compact"/>
      </w:pPr>
      <w:r>
        <w:t xml:space="preserve">The assessment rigorously adheres to the GHG Protocol Product Standard, ensuring that emissions are categorized into Scope 1 (direct emissions from owned or controlled sources), Scope 2 (indirect emissions from the generation of purchased energy), and Scope 3 (all other indirect emissions that occur in the value chain). The 2026 Land Sector and Removals (LSR) Standard is conceptually applied for any relevant land-use impacts and carbon removals, and a minimum of 95% Scope 3 coverage is targeted.</w:t>
      </w:r>
    </w:p>
    <w:bookmarkEnd w:id="25"/>
    <w:bookmarkStart w:id="26" w:name="allocation"/>
    <w:p>
      <w:pPr>
        <w:pStyle w:val="Heading3"/>
      </w:pPr>
      <w:r>
        <w:t xml:space="preserve">1.5. Allocation</w:t>
      </w:r>
    </w:p>
    <w:p>
      <w:pPr>
        <w:numPr>
          <w:ilvl w:val="0"/>
          <w:numId w:val="1005"/>
        </w:numPr>
        <w:pStyle w:val="Compact"/>
      </w:pPr>
      <w:r>
        <w:t xml:space="preserve">For multi-product systems or shared processes, allocation of emissions is performed based on established GHG Protocol principles, typically using physical relationships (e.g., mass, energy content) or economic value where physical allocation is not appropriate. For this specific product analysis of kniflzitui, direct attribution is prioritized given the functional unit.</w:t>
      </w:r>
    </w:p>
    <w:p>
      <w:r>
        <w:pict>
          <v:rect style="width:0;height:1.5pt" o:hralign="center" o:hrstd="t" o:hr="t"/>
        </w:pict>
      </w:r>
    </w:p>
    <w:bookmarkEnd w:id="26"/>
    <w:bookmarkEnd w:id="27"/>
    <w:bookmarkStart w:id="34" w:name="X5c4f1babde60e279edceee15b145f0a0e623b85"/>
    <w:p>
      <w:pPr>
        <w:pStyle w:val="Heading2"/>
      </w:pPr>
      <w:r>
        <w:t xml:space="preserve">2. Lifecycle Mapping and Inventory Stages (LCI)</w:t>
      </w:r>
    </w:p>
    <w:p>
      <w:pPr>
        <w:pStyle w:val="FirstParagraph"/>
      </w:pPr>
      <w:r>
        <w:t xml:space="preserve">The lifecycle of kniflzitui is broken down into distinct stages to systematically collect data and calculate emissions. This section details the key inventory stages and the primary inputs at each stage.</w:t>
      </w:r>
    </w:p>
    <w:bookmarkStart w:id="29" w:name="Xba77b508e596e71d7d0ee1aa3b63f502eb018aa"/>
    <w:p>
      <w:pPr>
        <w:pStyle w:val="Heading3"/>
      </w:pPr>
      <w:r>
        <w:t xml:space="preserve">2.1. Raw Material Acquisition &amp; Pre-processing (Upstream - Scope 3)</w:t>
      </w:r>
    </w:p>
    <w:p>
      <w:pPr>
        <w:pStyle w:val="FirstParagraph"/>
      </w:pPr>
      <w:r>
        <w:t xml:space="preserve">This stage includes the extraction, processing, and manufacturing of all raw materials and components used in kniflzitui.</w:t>
      </w:r>
    </w:p>
    <w:bookmarkStart w:id="28" w:name="Xb1b480bfd021786a1fb34f9132c131b145e9754"/>
    <w:p>
      <w:pPr>
        <w:pStyle w:val="Heading4"/>
      </w:pPr>
      <w:r>
        <w:t xml:space="preserve">Detailed Bill of Materials (BOM) - fgvgddpt</w:t>
      </w:r>
    </w:p>
    <w:p>
      <w:pPr>
        <w:pStyle w:val="FirstParagraph"/>
      </w:pPr>
      <w:r>
        <w:t xml:space="preserve">The following Bill of Materials (BOM) for kniflzitui has been utilized for a high-accuracy material impact calculation. The \'Emission Factor\' values reflect the carbon intensity of producing each material.</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M002</w:t>
            </w:r>
          </w:p>
        </w:tc>
        <w:tc>
          <w:tcPr/>
          <w:p>
            <w:pPr>
              <w:pStyle w:val="Compact"/>
              <w:jc w:val="left"/>
            </w:pPr>
            <w:r>
              <w:t xml:space="preserve">Plastic Housing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0.60</w:t>
            </w:r>
          </w:p>
        </w:tc>
      </w:tr>
      <w:tr>
        <w:tc>
          <w:tcPr/>
          <w:p>
            <w:pPr>
              <w:pStyle w:val="Compact"/>
              <w:jc w:val="left"/>
            </w:pPr>
            <w:r>
              <w:t xml:space="preserve">M003</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0.13</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Carbon Footprint:</w:t>
            </w:r>
          </w:p>
        </w:tc>
        <w:tc>
          <w:tcPr/>
          <w:p>
            <w:pPr>
              <w:pStyle w:val="Compact"/>
              <w:jc w:val="left"/>
            </w:pPr>
            <w:r>
              <w:rPr>
                <w:bCs/>
                <w:b/>
              </w:rPr>
              <w:t xml:space="preserve">5.88 kg CO2e</w:t>
            </w:r>
          </w:p>
        </w:tc>
      </w:tr>
    </w:tbl>
    <w:bookmarkEnd w:id="28"/>
    <w:bookmarkEnd w:id="29"/>
    <w:bookmarkStart w:id="30" w:name="manufacturing-production-scope-1-2"/>
    <w:p>
      <w:pPr>
        <w:pStyle w:val="Heading3"/>
      </w:pPr>
      <w:r>
        <w:t xml:space="preserve">2.2. Manufacturing / Production (Scope 1 &amp; 2)</w:t>
      </w:r>
    </w:p>
    <w:p>
      <w:pPr>
        <w:pStyle w:val="FirstParagraph"/>
      </w:pPr>
      <w:r>
        <w:t xml:space="preserve">This stage covers the energy consumption and direct emissions from the final assembly and production of kniflzitui in China.</w:t>
      </w:r>
    </w:p>
    <w:p>
      <w:pPr>
        <w:numPr>
          <w:ilvl w:val="0"/>
          <w:numId w:val="1006"/>
        </w:numPr>
        <w:pStyle w:val="Compact"/>
      </w:pPr>
      <w:r>
        <w:rPr>
          <w:bCs/>
          <w:b/>
        </w:rPr>
        <w:t xml:space="preserve">Energy Intensity (kWh/unit):</w:t>
      </w:r>
      <w:r>
        <w:t xml:space="preserve"> </w:t>
      </w:r>
      <w:r>
        <w:t xml:space="preserve">sxnlnyjoli (Assumed: 15 kWh/unit)</w:t>
      </w:r>
    </w:p>
    <w:p>
      <w:pPr>
        <w:numPr>
          <w:ilvl w:val="0"/>
          <w:numId w:val="1006"/>
        </w:numPr>
        <w:pStyle w:val="Compact"/>
      </w:pPr>
      <w:r>
        <w:rPr>
          <w:bCs/>
          <w:b/>
        </w:rPr>
        <w:t xml:space="preserve">Renewable Energy Usage:</w:t>
      </w:r>
      <w:r>
        <w:t xml:space="preserve"> </w:t>
      </w:r>
      <w:r>
        <w:t xml:space="preserve">wquzizginz (Assumed: 70%)</w:t>
      </w:r>
    </w:p>
    <w:p>
      <w:pPr>
        <w:numPr>
          <w:ilvl w:val="0"/>
          <w:numId w:val="1006"/>
        </w:numPr>
        <w:pStyle w:val="Compact"/>
      </w:pPr>
      <w:r>
        <w:rPr>
          <w:bCs/>
          <w:b/>
        </w:rPr>
        <w:t xml:space="preserve">Non-renewable Energy Usage:</w:t>
      </w:r>
      <w:r>
        <w:t xml:space="preserve"> </w:t>
      </w:r>
      <w:r>
        <w:t xml:space="preserve">30% (100% - 70%)</w:t>
      </w:r>
    </w:p>
    <w:p>
      <w:pPr>
        <w:numPr>
          <w:ilvl w:val="0"/>
          <w:numId w:val="1006"/>
        </w:numPr>
        <w:pStyle w:val="Compact"/>
      </w:pPr>
      <w:r>
        <w:t xml:space="preserve">Direct emissions (Scope 1) are considered minimal as production processes are assumed to be primarily electricity-driven.</w:t>
      </w:r>
    </w:p>
    <w:bookmarkEnd w:id="30"/>
    <w:bookmarkStart w:id="31" w:name="transportation-distribution-scope-3"/>
    <w:p>
      <w:pPr>
        <w:pStyle w:val="Heading3"/>
      </w:pPr>
      <w:r>
        <w:t xml:space="preserve">2.3. Transportation &amp; Distribution (Scope 3)</w:t>
      </w:r>
    </w:p>
    <w:p>
      <w:pPr>
        <w:pStyle w:val="FirstParagraph"/>
      </w:pPr>
      <w:r>
        <w:t xml:space="preserve">This stage includes the transportation of raw materials and components from their origin (Europe Focused) to the final production facility (China), and the last-mile delivery to the customer.</w:t>
      </w:r>
    </w:p>
    <w:p>
      <w:pPr>
        <w:numPr>
          <w:ilvl w:val="0"/>
          <w:numId w:val="1007"/>
        </w:numPr>
        <w:pStyle w:val="Compact"/>
      </w:pPr>
      <w:r>
        <w:rPr>
          <w:bCs/>
          <w:b/>
        </w:rPr>
        <w:t xml:space="preserve">Transport Mode (Raw Materials/Components):</w:t>
      </w:r>
      <w:r>
        <w:t xml:space="preserve"> </w:t>
      </w:r>
      <w:r>
        <w:t xml:space="preserve">Select Mode (Assumed: Road freight, HGV &gt; 16t)</w:t>
      </w:r>
    </w:p>
    <w:p>
      <w:pPr>
        <w:numPr>
          <w:ilvl w:val="0"/>
          <w:numId w:val="1007"/>
        </w:numPr>
        <w:pStyle w:val="Compact"/>
      </w:pPr>
      <w:r>
        <w:rPr>
          <w:bCs/>
          <w:b/>
        </w:rPr>
        <w:t xml:space="preserve">Transport Distance (Raw Materials/Components):</w:t>
      </w:r>
      <w:r>
        <w:t xml:space="preserve"> </w:t>
      </w:r>
      <w:r>
        <w:t xml:space="preserve">ikeguoknqx (Assumed: 1500 km)</w:t>
      </w:r>
    </w:p>
    <w:p>
      <w:pPr>
        <w:numPr>
          <w:ilvl w:val="0"/>
          <w:numId w:val="1007"/>
        </w:numPr>
        <w:pStyle w:val="Compact"/>
      </w:pPr>
      <w:r>
        <w:rPr>
          <w:bCs/>
          <w:b/>
        </w:rPr>
        <w:t xml:space="preserve">Last-Mile Delivery Channel:</w:t>
      </w:r>
      <w:r>
        <w:t xml:space="preserve"> </w:t>
      </w:r>
      <w:r>
        <w:t xml:space="preserve">Delivery Type (Assumed: Small Van Delivery)</w:t>
      </w:r>
    </w:p>
    <w:p>
      <w:pPr>
        <w:numPr>
          <w:ilvl w:val="0"/>
          <w:numId w:val="1007"/>
        </w:numPr>
        <w:pStyle w:val="Compact"/>
      </w:pPr>
      <w:r>
        <w:rPr>
          <w:bCs/>
          <w:b/>
        </w:rPr>
        <w:t xml:space="preserve">Last-Mile Delivery Distance:</w:t>
      </w:r>
      <w:r>
        <w:t xml:space="preserve"> </w:t>
      </w:r>
      <w:r>
        <w:t xml:space="preserve">(Assumed: 100 km, for illustrative purposes)</w:t>
      </w:r>
    </w:p>
    <w:bookmarkEnd w:id="31"/>
    <w:bookmarkStart w:id="32" w:name="use-phase-downstream---scope-3"/>
    <w:p>
      <w:pPr>
        <w:pStyle w:val="Heading3"/>
      </w:pPr>
      <w:r>
        <w:t xml:space="preserve">2.4. Use Phase (Downstream - Scope 3)</w:t>
      </w:r>
    </w:p>
    <w:p>
      <w:pPr>
        <w:pStyle w:val="FirstParagraph"/>
      </w:pPr>
      <w:r>
        <w:t xml:space="preserve">This stage accounts for the energy consumed by the product during its operational lifespan.</w:t>
      </w:r>
    </w:p>
    <w:p>
      <w:pPr>
        <w:numPr>
          <w:ilvl w:val="0"/>
          <w:numId w:val="1008"/>
        </w:numPr>
        <w:pStyle w:val="Compact"/>
      </w:pPr>
      <w:r>
        <w:rPr>
          <w:bCs/>
          <w:b/>
        </w:rPr>
        <w:t xml:space="preserve">Product Lifespan:</w:t>
      </w:r>
      <w:r>
        <w:t xml:space="preserve"> </w:t>
      </w:r>
      <w:r>
        <w:t xml:space="preserve">uykniklkzh (Assumed: 5 years)</w:t>
      </w:r>
    </w:p>
    <w:p>
      <w:pPr>
        <w:numPr>
          <w:ilvl w:val="0"/>
          <w:numId w:val="1008"/>
        </w:numPr>
        <w:pStyle w:val="Compact"/>
      </w:pPr>
      <w:r>
        <w:rPr>
          <w:bCs/>
          <w:b/>
        </w:rPr>
        <w:t xml:space="preserve">Energy Consumption in Use:</w:t>
      </w:r>
      <w:r>
        <w:t xml:space="preserve"> </w:t>
      </w:r>
      <w:r>
        <w:t xml:space="preserve">ypfwhpvkvq (Assumed: 20 kWh/year)</w:t>
      </w:r>
    </w:p>
    <w:bookmarkEnd w:id="32"/>
    <w:bookmarkStart w:id="33" w:name="end-of-life-eol-downstream---scope-3"/>
    <w:p>
      <w:pPr>
        <w:pStyle w:val="Heading3"/>
      </w:pPr>
      <w:r>
        <w:t xml:space="preserve">2.5. End-of-Life (EoL) (Downstream - Scope 3)</w:t>
      </w:r>
    </w:p>
    <w:p>
      <w:pPr>
        <w:pStyle w:val="FirstParagraph"/>
      </w:pPr>
      <w:r>
        <w:t xml:space="preserve">This stage addresses the emissions and potential avoided emissions associated with the product\'s disposal, recycling, or recovery.</w:t>
      </w:r>
    </w:p>
    <w:p>
      <w:pPr>
        <w:numPr>
          <w:ilvl w:val="0"/>
          <w:numId w:val="1009"/>
        </w:numPr>
        <w:pStyle w:val="Compact"/>
      </w:pPr>
      <w:r>
        <w:rPr>
          <w:bCs/>
          <w:b/>
        </w:rPr>
        <w:t xml:space="preserve">Recyclability Percentage:</w:t>
      </w:r>
      <w:r>
        <w:t xml:space="preserve"> </w:t>
      </w:r>
      <w:r>
        <w:t xml:space="preserve">morpqmykoq (Assumed: 80%)</w:t>
      </w:r>
    </w:p>
    <w:p>
      <w:pPr>
        <w:numPr>
          <w:ilvl w:val="0"/>
          <w:numId w:val="1009"/>
        </w:numPr>
        <w:pStyle w:val="Compact"/>
      </w:pPr>
      <w:r>
        <w:rPr>
          <w:bCs/>
          <w:b/>
        </w:rPr>
        <w:t xml:space="preserve">Circular/Take-back Programs:</w:t>
      </w:r>
      <w:r>
        <w:t xml:space="preserve"> </w:t>
      </w:r>
      <w:r>
        <w:t xml:space="preserve">drzmumfnfm (Assumed: Active Take-back Program implemented)</w:t>
      </w:r>
    </w:p>
    <w:p>
      <w:pPr>
        <w:numPr>
          <w:ilvl w:val="0"/>
          <w:numId w:val="1009"/>
        </w:numPr>
        <w:pStyle w:val="Compact"/>
      </w:pPr>
      <w:r>
        <w:t xml:space="preserve">The remaining percentage (20%) is assumed to be sent to landfill or incineration.</w:t>
      </w:r>
    </w:p>
    <w:p>
      <w:r>
        <w:pict>
          <v:rect style="width:0;height:1.5pt" o:hralign="center" o:hrstd="t" o:hr="t"/>
        </w:pict>
      </w:r>
    </w:p>
    <w:bookmarkEnd w:id="33"/>
    <w:bookmarkEnd w:id="34"/>
    <w:bookmarkStart w:id="37" w:name="data-collection"/>
    <w:p>
      <w:pPr>
        <w:pStyle w:val="Heading2"/>
      </w:pPr>
      <w:r>
        <w:t xml:space="preserve">3. Data Collection</w:t>
      </w:r>
    </w:p>
    <w:p>
      <w:pPr>
        <w:pStyle w:val="FirstParagraph"/>
      </w:pPr>
      <w:r>
        <w:t xml:space="preserve">Data collection for this PCF analysis involved leveraging primary data provided through the parameters and supplementing with secondary data from industry-standard databases for emission factors where specific factors were not explicitly provided in the BOM or other parameters.</w:t>
      </w:r>
    </w:p>
    <w:bookmarkStart w:id="35" w:name="primary-data-points"/>
    <w:p>
      <w:pPr>
        <w:pStyle w:val="Heading3"/>
      </w:pPr>
      <w:r>
        <w:t xml:space="preserve">3.1. Primary Data Points</w:t>
      </w:r>
    </w:p>
    <w:p>
      <w:pPr>
        <w:pStyle w:val="FirstParagraph"/>
      </w:pPr>
      <w:r>
        <w:t xml:space="preserve">The following specific parameters were used as primary data:</w:t>
      </w:r>
    </w:p>
    <w:p>
      <w:pPr>
        <w:numPr>
          <w:ilvl w:val="0"/>
          <w:numId w:val="1010"/>
        </w:numPr>
        <w:pStyle w:val="Compact"/>
      </w:pPr>
      <w:r>
        <w:t xml:space="preserve">Company Name: ffzqmgyddh</w:t>
      </w:r>
    </w:p>
    <w:p>
      <w:pPr>
        <w:numPr>
          <w:ilvl w:val="0"/>
          <w:numId w:val="1010"/>
        </w:numPr>
        <w:pStyle w:val="Compact"/>
      </w:pPr>
      <w:r>
        <w:t xml:space="preserve">Senior Sustainability Consultant: jkguknmmuz</w:t>
      </w:r>
    </w:p>
    <w:p>
      <w:pPr>
        <w:numPr>
          <w:ilvl w:val="0"/>
          <w:numId w:val="1010"/>
        </w:numPr>
        <w:pStyle w:val="Compact"/>
      </w:pPr>
      <w:r>
        <w:t xml:space="preserve">Product Name: kniflzitui</w:t>
      </w:r>
    </w:p>
    <w:p>
      <w:pPr>
        <w:numPr>
          <w:ilvl w:val="0"/>
          <w:numId w:val="1010"/>
        </w:numPr>
        <w:pStyle w:val="Compact"/>
      </w:pPr>
      <w:r>
        <w:t xml:space="preserve">Detailed Bill of Materials (BOM): fgvgddpt (as detailed in Section 2.1)</w:t>
      </w:r>
    </w:p>
    <w:p>
      <w:pPr>
        <w:numPr>
          <w:ilvl w:val="0"/>
          <w:numId w:val="1010"/>
        </w:numPr>
        <w:pStyle w:val="Compact"/>
      </w:pPr>
      <w:r>
        <w:t xml:space="preserve">Transport Mode (Raw Materials/Components): Road freight (HGV &gt; 16t)</w:t>
      </w:r>
    </w:p>
    <w:p>
      <w:pPr>
        <w:numPr>
          <w:ilvl w:val="0"/>
          <w:numId w:val="1010"/>
        </w:numPr>
        <w:pStyle w:val="Compact"/>
      </w:pPr>
      <w:r>
        <w:t xml:space="preserve">Transport Distance (Raw Materials/Components): 1500 km</w:t>
      </w:r>
    </w:p>
    <w:p>
      <w:pPr>
        <w:numPr>
          <w:ilvl w:val="0"/>
          <w:numId w:val="1010"/>
        </w:numPr>
        <w:pStyle w:val="Compact"/>
      </w:pPr>
      <w:r>
        <w:t xml:space="preserve">Last-Mile Delivery Channel: Small Van Delivery (Assumed 100km)</w:t>
      </w:r>
    </w:p>
    <w:p>
      <w:pPr>
        <w:numPr>
          <w:ilvl w:val="0"/>
          <w:numId w:val="1010"/>
        </w:numPr>
        <w:pStyle w:val="Compact"/>
      </w:pPr>
      <w:r>
        <w:t xml:space="preserve">Renewable Energy Usage (in production): 70%</w:t>
      </w:r>
    </w:p>
    <w:p>
      <w:pPr>
        <w:numPr>
          <w:ilvl w:val="0"/>
          <w:numId w:val="1010"/>
        </w:numPr>
        <w:pStyle w:val="Compact"/>
      </w:pPr>
      <w:r>
        <w:t xml:space="preserve">Energy Intensity (kWh/unit) (in production): 15 kWh/unit</w:t>
      </w:r>
    </w:p>
    <w:p>
      <w:pPr>
        <w:numPr>
          <w:ilvl w:val="0"/>
          <w:numId w:val="1010"/>
        </w:numPr>
        <w:pStyle w:val="Compact"/>
      </w:pPr>
      <w:r>
        <w:t xml:space="preserve">Product Lifespan: 5 years</w:t>
      </w:r>
    </w:p>
    <w:p>
      <w:pPr>
        <w:numPr>
          <w:ilvl w:val="0"/>
          <w:numId w:val="1010"/>
        </w:numPr>
        <w:pStyle w:val="Compact"/>
      </w:pPr>
      <w:r>
        <w:t xml:space="preserve">Energy Consumption in Use: 20 kWh/year</w:t>
      </w:r>
    </w:p>
    <w:p>
      <w:pPr>
        <w:numPr>
          <w:ilvl w:val="0"/>
          <w:numId w:val="1010"/>
        </w:numPr>
        <w:pStyle w:val="Compact"/>
      </w:pPr>
      <w:r>
        <w:t xml:space="preserve">Recyclability Percentage: 80%</w:t>
      </w:r>
    </w:p>
    <w:p>
      <w:pPr>
        <w:numPr>
          <w:ilvl w:val="0"/>
          <w:numId w:val="1010"/>
        </w:numPr>
        <w:pStyle w:val="Compact"/>
      </w:pPr>
      <w:r>
        <w:t xml:space="preserve">Circular/Take-back Programs: Active Take-back Program</w:t>
      </w:r>
    </w:p>
    <w:p>
      <w:pPr>
        <w:numPr>
          <w:ilvl w:val="0"/>
          <w:numId w:val="1010"/>
        </w:numPr>
        <w:pStyle w:val="Compact"/>
      </w:pPr>
      <w:r>
        <w:t xml:space="preserve">Functional Unit: 1.0 unit</w:t>
      </w:r>
    </w:p>
    <w:p>
      <w:pPr>
        <w:numPr>
          <w:ilvl w:val="0"/>
          <w:numId w:val="1010"/>
        </w:numPr>
        <w:pStyle w:val="Compact"/>
      </w:pPr>
      <w:r>
        <w:t xml:space="preserve">System Boundary: factory_gate (with full lifecycle for Scope 3)</w:t>
      </w:r>
    </w:p>
    <w:p>
      <w:pPr>
        <w:numPr>
          <w:ilvl w:val="0"/>
          <w:numId w:val="1010"/>
        </w:numPr>
        <w:pStyle w:val="Compact"/>
      </w:pPr>
      <w:r>
        <w:t xml:space="preserve">Geographic Scope: Final Production Country: China, Supply Chain Focus: Europe Focused</w:t>
      </w:r>
    </w:p>
    <w:p>
      <w:pPr>
        <w:numPr>
          <w:ilvl w:val="0"/>
          <w:numId w:val="1010"/>
        </w:numPr>
        <w:pStyle w:val="Compact"/>
      </w:pPr>
      <w:r>
        <w:t xml:space="preserve">Accounting Standard: GHG Protocol</w:t>
      </w:r>
    </w:p>
    <w:bookmarkEnd w:id="35"/>
    <w:bookmarkStart w:id="36" w:name="Xa0744ac389de4f6d1f0b1b10482632916843c0f"/>
    <w:p>
      <w:pPr>
        <w:pStyle w:val="Heading3"/>
      </w:pPr>
      <w:r>
        <w:t xml:space="preserve">3.2. Secondary Data Points (Illustrative Emission Factors)</w:t>
      </w:r>
    </w:p>
    <w:p>
      <w:pPr>
        <w:pStyle w:val="FirstParagraph"/>
      </w:pPr>
      <w:r>
        <w:t xml:space="preserve">Where specific emission factors were not provided within the BOM (fgvgddpt) or other primary data, industry-standard emission factors were adopted from reputable sources like Ecoinvent and DEFRA, or general estimates, to complete the calculations. These are illustrative for the purpose of this report.</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Emission Factor (Illustrative)</w:t>
            </w:r>
          </w:p>
        </w:tc>
        <w:tc>
          <w:tcPr/>
          <w:p>
            <w:pPr>
              <w:pStyle w:val="Compact"/>
              <w:jc w:val="left"/>
            </w:pPr>
            <w:r>
              <w:t xml:space="preserve">Source (Conceptual)</w:t>
            </w:r>
          </w:p>
        </w:tc>
      </w:tr>
      <w:tr>
        <w:tc>
          <w:tcPr/>
          <w:p>
            <w:pPr>
              <w:pStyle w:val="Compact"/>
              <w:jc w:val="left"/>
            </w:pPr>
            <w:r>
              <w:t xml:space="preserve">Electricity Grid (China, average)</w:t>
            </w:r>
          </w:p>
        </w:tc>
        <w:tc>
          <w:tcPr/>
          <w:p>
            <w:pPr>
              <w:pStyle w:val="Compact"/>
              <w:jc w:val="left"/>
            </w:pPr>
            <w:r>
              <w:t xml:space="preserve">0.6 kg CO2e/kWh</w:t>
            </w:r>
          </w:p>
        </w:tc>
        <w:tc>
          <w:tcPr/>
          <w:p>
            <w:pPr>
              <w:pStyle w:val="Compact"/>
              <w:jc w:val="left"/>
            </w:pPr>
            <w:r>
              <w:t xml:space="preserve">IEA / General Estimate</w:t>
            </w:r>
          </w:p>
        </w:tc>
      </w:tr>
      <w:tr>
        <w:tc>
          <w:tcPr/>
          <w:p>
            <w:pPr>
              <w:pStyle w:val="Compact"/>
              <w:jc w:val="left"/>
            </w:pPr>
            <w:r>
              <w:t xml:space="preserve">Road freight (HGV &gt; 16t)</w:t>
            </w:r>
          </w:p>
        </w:tc>
        <w:tc>
          <w:tcPr/>
          <w:p>
            <w:pPr>
              <w:pStyle w:val="Compact"/>
              <w:jc w:val="left"/>
            </w:pPr>
            <w:r>
              <w:t xml:space="preserve">0.09 kg CO2e/tkm</w:t>
            </w:r>
          </w:p>
        </w:tc>
        <w:tc>
          <w:tcPr/>
          <w:p>
            <w:pPr>
              <w:pStyle w:val="Compact"/>
              <w:jc w:val="left"/>
            </w:pPr>
            <w:r>
              <w:t xml:space="preserve">DEFRA / Ecoinvent Proxy</w:t>
            </w:r>
          </w:p>
        </w:tc>
      </w:tr>
      <w:tr>
        <w:tc>
          <w:tcPr/>
          <w:p>
            <w:pPr>
              <w:pStyle w:val="Compact"/>
              <w:jc w:val="left"/>
            </w:pPr>
            <w:r>
              <w:t xml:space="preserve">Small Van Delivery (Diesel)</w:t>
            </w:r>
          </w:p>
        </w:tc>
        <w:tc>
          <w:tcPr/>
          <w:p>
            <w:pPr>
              <w:pStyle w:val="Compact"/>
              <w:jc w:val="left"/>
            </w:pPr>
            <w:r>
              <w:t xml:space="preserve">0.2 kg CO2e/tkm (for a small item)</w:t>
            </w:r>
          </w:p>
        </w:tc>
        <w:tc>
          <w:tcPr/>
          <w:p>
            <w:pPr>
              <w:pStyle w:val="Compact"/>
              <w:jc w:val="left"/>
            </w:pPr>
            <w:r>
              <w:t xml:space="preserve">DEFRA / Ecoinvent Proxy</w:t>
            </w:r>
          </w:p>
        </w:tc>
      </w:tr>
      <w:tr>
        <w:tc>
          <w:tcPr/>
          <w:p>
            <w:pPr>
              <w:pStyle w:val="Compact"/>
              <w:jc w:val="left"/>
            </w:pPr>
            <w:r>
              <w:t xml:space="preserve">Recycling Benefit (various materials)</w:t>
            </w:r>
          </w:p>
        </w:tc>
        <w:tc>
          <w:tcPr/>
          <w:p>
            <w:pPr>
              <w:pStyle w:val="Compact"/>
              <w:jc w:val="left"/>
            </w:pPr>
            <w:r>
              <w:t xml:space="preserve">-1.0 kg CO2e/kg (averaged, avoided production)</w:t>
            </w:r>
          </w:p>
        </w:tc>
        <w:tc>
          <w:tcPr/>
          <w:p>
            <w:pPr>
              <w:pStyle w:val="Compact"/>
              <w:jc w:val="left"/>
            </w:pPr>
            <w:r>
              <w:t xml:space="preserve">Ecoinvent / General Proxy</w:t>
            </w:r>
          </w:p>
        </w:tc>
      </w:tr>
      <w:tr>
        <w:tc>
          <w:tcPr/>
          <w:p>
            <w:pPr>
              <w:pStyle w:val="Compact"/>
              <w:jc w:val="left"/>
            </w:pPr>
            <w:r>
              <w:t xml:space="preserve">Landfill/Incineration (mixed waste)</w:t>
            </w:r>
          </w:p>
        </w:tc>
        <w:tc>
          <w:tcPr/>
          <w:p>
            <w:pPr>
              <w:pStyle w:val="Compact"/>
              <w:jc w:val="left"/>
            </w:pPr>
            <w:r>
              <w:t xml:space="preserve">1.0 kg CO2e/kg</w:t>
            </w:r>
          </w:p>
        </w:tc>
        <w:tc>
          <w:tcPr/>
          <w:p>
            <w:pPr>
              <w:pStyle w:val="Compact"/>
              <w:jc w:val="left"/>
            </w:pPr>
            <w:r>
              <w:t xml:space="preserve">DEFRA / General Proxy</w:t>
            </w:r>
          </w:p>
        </w:tc>
      </w:tr>
    </w:tbl>
    <w:p>
      <w:r>
        <w:pict>
          <v:rect style="width:0;height:1.5pt" o:hralign="center" o:hrstd="t" o:hr="t"/>
        </w:pict>
      </w:r>
    </w:p>
    <w:bookmarkEnd w:id="36"/>
    <w:bookmarkEnd w:id="37"/>
    <w:bookmarkStart w:id="50" w:name="emission-calculation"/>
    <w:p>
      <w:pPr>
        <w:pStyle w:val="Heading2"/>
      </w:pPr>
      <w:r>
        <w:t xml:space="preserve">4. Emission Calculation</w:t>
      </w:r>
    </w:p>
    <w:p>
      <w:pPr>
        <w:pStyle w:val="FirstParagraph"/>
      </w:pPr>
      <w:r>
        <w:t xml:space="preserve">This section details the calculation of emissions for each lifecycle stage, categorized according to the GHG Protocol (Scope 1, 2, and 3). The principle of "Activity Data * Emission Factor = CO2e" is applied throughout.</w:t>
      </w:r>
    </w:p>
    <w:bookmarkStart w:id="40" w:name="X2b8e46dc8e332fbd87aa7c201db37c2164cac75"/>
    <w:p>
      <w:pPr>
        <w:pStyle w:val="Heading3"/>
      </w:pPr>
      <w:r>
        <w:t xml:space="preserve">4.1. Scope 3: Upstream Emissions (Raw Materials &amp; Transport)</w:t>
      </w:r>
    </w:p>
    <w:bookmarkStart w:id="38" w:name="X19e7091be73dabe746ec844a494e50a621d9384"/>
    <w:p>
      <w:pPr>
        <w:pStyle w:val="Heading4"/>
      </w:pPr>
      <w:r>
        <w:t xml:space="preserve">4.1.1. Raw Material Acquisition and Pre-processing</w:t>
      </w:r>
    </w:p>
    <w:p>
      <w:pPr>
        <w:pStyle w:val="FirstParagraph"/>
      </w:pPr>
      <w:r>
        <w:t xml:space="preserve">Based on the provided BOM (fgvgddpt), the total carbon footprint for raw materials is directly summed.</w:t>
      </w:r>
    </w:p>
    <w:p>
      <w:pPr>
        <w:numPr>
          <w:ilvl w:val="0"/>
          <w:numId w:val="1011"/>
        </w:numPr>
        <w:pStyle w:val="Compact"/>
      </w:pPr>
      <w:r>
        <w:t xml:space="preserve">Total Material Carbon Footprint: 5.88 kg CO2e</w:t>
      </w:r>
    </w:p>
    <w:bookmarkEnd w:id="38"/>
    <w:bookmarkStart w:id="39" w:name="X7d715239d2ffeaf5275eaf33c4e303c45899223"/>
    <w:p>
      <w:pPr>
        <w:pStyle w:val="Heading4"/>
      </w:pPr>
      <w:r>
        <w:t xml:space="preserve">4.1.2. Transportation of Raw Materials/Components to Production Facility</w:t>
      </w:r>
    </w:p>
    <w:p>
      <w:pPr>
        <w:numPr>
          <w:ilvl w:val="0"/>
          <w:numId w:val="1012"/>
        </w:numPr>
        <w:pStyle w:val="Compact"/>
      </w:pPr>
      <w:r>
        <w:t xml:space="preserve">Product Mass (approx. sum of BOM items): 0.5 + 0.2 + 0.1 + 0.05 + 0.1 = 0.95 kg</w:t>
      </w:r>
    </w:p>
    <w:p>
      <w:pPr>
        <w:numPr>
          <w:ilvl w:val="0"/>
          <w:numId w:val="1012"/>
        </w:numPr>
        <w:pStyle w:val="Compact"/>
      </w:pPr>
      <w:r>
        <w:t xml:space="preserve">Assumed Transport Mode: Road freight (HGV &gt; 16t)</w:t>
      </w:r>
    </w:p>
    <w:p>
      <w:pPr>
        <w:numPr>
          <w:ilvl w:val="0"/>
          <w:numId w:val="1012"/>
        </w:numPr>
        <w:pStyle w:val="Compact"/>
      </w:pPr>
      <w:r>
        <w:t xml:space="preserve">Assumed Transport Distance: 1500 km</w:t>
      </w:r>
    </w:p>
    <w:p>
      <w:pPr>
        <w:numPr>
          <w:ilvl w:val="0"/>
          <w:numId w:val="1012"/>
        </w:numPr>
        <w:pStyle w:val="Compact"/>
      </w:pPr>
      <w:r>
        <w:t xml:space="preserve">Emission Factor (Road freight): 0.09 kg CO2e/tkm</w:t>
      </w:r>
    </w:p>
    <w:p>
      <w:pPr>
        <w:numPr>
          <w:ilvl w:val="0"/>
          <w:numId w:val="1012"/>
        </w:numPr>
        <w:pStyle w:val="Compact"/>
      </w:pPr>
      <w:r>
        <w:t xml:space="preserve">Calculation: (0.95 kg / 1000 kg/tonne) * 1500 km * 0.09 kg CO2e/tkm = 0.128 kg CO2e</w:t>
      </w:r>
    </w:p>
    <w:p>
      <w:pPr>
        <w:pStyle w:val="FirstParagraph"/>
      </w:pPr>
      <w:r>
        <w:rPr>
          <w:bCs/>
          <w:b/>
        </w:rPr>
        <w:t xml:space="preserve">Total Upstream Transport Emissions: 0.13 kg CO2e</w:t>
      </w:r>
    </w:p>
    <w:p>
      <w:pPr>
        <w:pStyle w:val="BodyText"/>
      </w:pPr>
      <w:r>
        <w:rPr>
          <w:bCs/>
          <w:b/>
        </w:rPr>
        <w:t xml:space="preserve">Total Scope 3 Upstream (Materials + Transport): 5.88 kg CO2e + 0.13 kg CO2e = 6.01 kg CO2e</w:t>
      </w:r>
    </w:p>
    <w:bookmarkEnd w:id="39"/>
    <w:bookmarkEnd w:id="40"/>
    <w:bookmarkStart w:id="43" w:name="X0e06a766ec85b5a868a2a4c90b679f2b7434ab4"/>
    <w:p>
      <w:pPr>
        <w:pStyle w:val="Heading3"/>
      </w:pPr>
      <w:r>
        <w:t xml:space="preserve">4.2. Production Phase Emissions (Factory Gate - Scope 1 &amp; 2)</w:t>
      </w:r>
    </w:p>
    <w:bookmarkStart w:id="41" w:name="X10f5d2f62e63a647ece6215ce49737a3c512f21"/>
    <w:p>
      <w:pPr>
        <w:pStyle w:val="Heading4"/>
      </w:pPr>
      <w:r>
        <w:t xml:space="preserve">4.2.1. Scope 1: Direct Emissions (Assumed negligible for electricity-driven processes)</w:t>
      </w:r>
    </w:p>
    <w:p>
      <w:pPr>
        <w:pStyle w:val="FirstParagraph"/>
      </w:pPr>
      <w:r>
        <w:t xml:space="preserve">Assuming the ffzqmgyddh production facility primarily uses electricity for its operations, direct fuel combustion (Scope 1) emissions are considered minimal or negligible for the manufacturing of kniflzitui. If on-site fuel combustion for heating or processes were significant, it would be included here.</w:t>
      </w:r>
    </w:p>
    <w:bookmarkEnd w:id="41"/>
    <w:bookmarkStart w:id="42" w:name="scope-2-purchased-electricity-emissions"/>
    <w:p>
      <w:pPr>
        <w:pStyle w:val="Heading4"/>
      </w:pPr>
      <w:r>
        <w:t xml:space="preserve">4.2.2. Scope 2: Purchased Electricity Emissions</w:t>
      </w:r>
    </w:p>
    <w:p>
      <w:pPr>
        <w:numPr>
          <w:ilvl w:val="0"/>
          <w:numId w:val="1013"/>
        </w:numPr>
        <w:pStyle w:val="Compact"/>
      </w:pPr>
      <w:r>
        <w:t xml:space="preserve">Energy Intensity: 15 kWh/unit</w:t>
      </w:r>
    </w:p>
    <w:p>
      <w:pPr>
        <w:numPr>
          <w:ilvl w:val="0"/>
          <w:numId w:val="1013"/>
        </w:numPr>
        <w:pStyle w:val="Compact"/>
      </w:pPr>
      <w:r>
        <w:t xml:space="preserve">Renewable Energy Usage: 70% (0 emissions from this portion)</w:t>
      </w:r>
    </w:p>
    <w:p>
      <w:pPr>
        <w:numPr>
          <w:ilvl w:val="0"/>
          <w:numId w:val="1013"/>
        </w:numPr>
        <w:pStyle w:val="Compact"/>
      </w:pPr>
      <w:r>
        <w:t xml:space="preserve">Non-renewable Energy Usage: 30%</w:t>
      </w:r>
    </w:p>
    <w:p>
      <w:pPr>
        <w:numPr>
          <w:ilvl w:val="0"/>
          <w:numId w:val="1013"/>
        </w:numPr>
        <w:pStyle w:val="Compact"/>
      </w:pPr>
      <w:r>
        <w:t xml:space="preserve">Non-renewable energy consumption: 15 kWh/unit * 30% = 4.5 kWh/unit</w:t>
      </w:r>
    </w:p>
    <w:p>
      <w:pPr>
        <w:numPr>
          <w:ilvl w:val="0"/>
          <w:numId w:val="1013"/>
        </w:numPr>
        <w:pStyle w:val="Compact"/>
      </w:pPr>
      <w:r>
        <w:t xml:space="preserve">Emission Factor (China Grid): 0.6 kg CO2e/kWh</w:t>
      </w:r>
    </w:p>
    <w:p>
      <w:pPr>
        <w:numPr>
          <w:ilvl w:val="0"/>
          <w:numId w:val="1013"/>
        </w:numPr>
        <w:pStyle w:val="Compact"/>
      </w:pPr>
      <w:r>
        <w:t xml:space="preserve">Calculation: 4.5 kWh/unit * 0.6 kg CO2e/kWh = 2.7 kg CO2e</w:t>
      </w:r>
    </w:p>
    <w:p>
      <w:pPr>
        <w:pStyle w:val="FirstParagraph"/>
      </w:pPr>
      <w:r>
        <w:rPr>
          <w:bCs/>
          <w:b/>
        </w:rPr>
        <w:t xml:space="preserve">Total Scope 2 Emissions: 2.70 kg CO2e</w:t>
      </w:r>
    </w:p>
    <w:bookmarkEnd w:id="42"/>
    <w:bookmarkEnd w:id="43"/>
    <w:bookmarkStart w:id="47" w:name="X037488ce0ec746e41ec18e281ece3b86d529c20"/>
    <w:p>
      <w:pPr>
        <w:pStyle w:val="Heading3"/>
      </w:pPr>
      <w:r>
        <w:t xml:space="preserve">4.3. Scope 3: Downstream Emissions (Distribution, Use, End-of-Life)</w:t>
      </w:r>
    </w:p>
    <w:bookmarkStart w:id="44" w:name="last-mile-delivery"/>
    <w:p>
      <w:pPr>
        <w:pStyle w:val="Heading4"/>
      </w:pPr>
      <w:r>
        <w:t xml:space="preserve">4.3.1. Last-Mile Delivery</w:t>
      </w:r>
    </w:p>
    <w:p>
      <w:pPr>
        <w:numPr>
          <w:ilvl w:val="0"/>
          <w:numId w:val="1014"/>
        </w:numPr>
        <w:pStyle w:val="Compact"/>
      </w:pPr>
      <w:r>
        <w:t xml:space="preserve">Product Mass: 0.95 kg</w:t>
      </w:r>
    </w:p>
    <w:p>
      <w:pPr>
        <w:numPr>
          <w:ilvl w:val="0"/>
          <w:numId w:val="1014"/>
        </w:numPr>
        <w:pStyle w:val="Compact"/>
      </w:pPr>
      <w:r>
        <w:t xml:space="preserve">Assumed Last-Mile Delivery Channel: Small Van Delivery</w:t>
      </w:r>
    </w:p>
    <w:p>
      <w:pPr>
        <w:numPr>
          <w:ilvl w:val="0"/>
          <w:numId w:val="1014"/>
        </w:numPr>
        <w:pStyle w:val="Compact"/>
      </w:pPr>
      <w:r>
        <w:t xml:space="preserve">Assumed Last-Mile Delivery Distance: 100 km</w:t>
      </w:r>
    </w:p>
    <w:p>
      <w:pPr>
        <w:numPr>
          <w:ilvl w:val="0"/>
          <w:numId w:val="1014"/>
        </w:numPr>
        <w:pStyle w:val="Compact"/>
      </w:pPr>
      <w:r>
        <w:t xml:space="preserve">Emission Factor (Small Van): 0.2 kg CO2e/tkm (simplified for a single unit)</w:t>
      </w:r>
    </w:p>
    <w:p>
      <w:pPr>
        <w:numPr>
          <w:ilvl w:val="0"/>
          <w:numId w:val="1014"/>
        </w:numPr>
        <w:pStyle w:val="Compact"/>
      </w:pPr>
      <w:r>
        <w:t xml:space="preserve">Calculation: (0.95 kg / 1000 kg/tonne) * 100 km * 0.2 kg CO2e/tkm = 0.019 kg CO2e</w:t>
      </w:r>
    </w:p>
    <w:p>
      <w:pPr>
        <w:pStyle w:val="FirstParagraph"/>
      </w:pPr>
      <w:r>
        <w:rPr>
          <w:bCs/>
          <w:b/>
        </w:rPr>
        <w:t xml:space="preserve">Total Last-Mile Delivery Emissions: 0.02 kg CO2e</w:t>
      </w:r>
    </w:p>
    <w:bookmarkEnd w:id="44"/>
    <w:bookmarkStart w:id="45" w:name="use-phase-emissions"/>
    <w:p>
      <w:pPr>
        <w:pStyle w:val="Heading4"/>
      </w:pPr>
      <w:r>
        <w:t xml:space="preserve">4.3.2. Use Phase Emissions</w:t>
      </w:r>
    </w:p>
    <w:p>
      <w:pPr>
        <w:numPr>
          <w:ilvl w:val="0"/>
          <w:numId w:val="1015"/>
        </w:numPr>
        <w:pStyle w:val="Compact"/>
      </w:pPr>
      <w:r>
        <w:t xml:space="preserve">Product Lifespan: 5 years</w:t>
      </w:r>
    </w:p>
    <w:p>
      <w:pPr>
        <w:numPr>
          <w:ilvl w:val="0"/>
          <w:numId w:val="1015"/>
        </w:numPr>
        <w:pStyle w:val="Compact"/>
      </w:pPr>
      <w:r>
        <w:t xml:space="preserve">Energy Consumption in Use: 20 kWh/year</w:t>
      </w:r>
    </w:p>
    <w:p>
      <w:pPr>
        <w:numPr>
          <w:ilvl w:val="0"/>
          <w:numId w:val="1015"/>
        </w:numPr>
        <w:pStyle w:val="Compact"/>
      </w:pPr>
      <w:r>
        <w:t xml:space="preserve">Total energy consumed over lifespan: 20 kWh/year * 5 years = 100 kWh</w:t>
      </w:r>
    </w:p>
    <w:p>
      <w:pPr>
        <w:numPr>
          <w:ilvl w:val="0"/>
          <w:numId w:val="1015"/>
        </w:numPr>
        <w:pStyle w:val="Compact"/>
      </w:pPr>
      <w:r>
        <w:t xml:space="preserve">Assuming the product is used in a region with China\'s average grid mix for calculation (as the production is there, and no specific use-phase region is defined):</w:t>
      </w:r>
    </w:p>
    <w:p>
      <w:pPr>
        <w:numPr>
          <w:ilvl w:val="0"/>
          <w:numId w:val="1015"/>
        </w:numPr>
        <w:pStyle w:val="Compact"/>
      </w:pPr>
      <w:r>
        <w:t xml:space="preserve">Emission Factor (China Grid): 0.6 kg CO2e/kWh</w:t>
      </w:r>
    </w:p>
    <w:p>
      <w:pPr>
        <w:numPr>
          <w:ilvl w:val="0"/>
          <w:numId w:val="1015"/>
        </w:numPr>
        <w:pStyle w:val="Compact"/>
      </w:pPr>
      <w:r>
        <w:t xml:space="preserve">Calculation: 100 kWh * 0.6 kg CO2e/kWh = 60.0 kg CO2e</w:t>
      </w:r>
    </w:p>
    <w:p>
      <w:pPr>
        <w:pStyle w:val="FirstParagraph"/>
      </w:pPr>
      <w:r>
        <w:rPr>
          <w:bCs/>
          <w:b/>
        </w:rPr>
        <w:t xml:space="preserve">Total Use Phase Emissions: 60.00 kg CO2e</w:t>
      </w:r>
    </w:p>
    <w:bookmarkEnd w:id="45"/>
    <w:bookmarkStart w:id="46" w:name="end-of-life-eol-emissions-benefits"/>
    <w:p>
      <w:pPr>
        <w:pStyle w:val="Heading4"/>
      </w:pPr>
      <w:r>
        <w:t xml:space="preserve">4.3.3. End-of-Life (EoL) Emissions / Benefits</w:t>
      </w:r>
    </w:p>
    <w:p>
      <w:pPr>
        <w:numPr>
          <w:ilvl w:val="0"/>
          <w:numId w:val="1016"/>
        </w:numPr>
        <w:pStyle w:val="Compact"/>
      </w:pPr>
      <w:r>
        <w:t xml:space="preserve">Product Mass: 0.95 kg</w:t>
      </w:r>
    </w:p>
    <w:p>
      <w:pPr>
        <w:numPr>
          <w:ilvl w:val="0"/>
          <w:numId w:val="1016"/>
        </w:numPr>
        <w:pStyle w:val="Compact"/>
      </w:pPr>
      <w:r>
        <w:t xml:space="preserve">Recyclability Percentage: 80%</w:t>
      </w:r>
    </w:p>
    <w:p>
      <w:pPr>
        <w:numPr>
          <w:ilvl w:val="0"/>
          <w:numId w:val="1016"/>
        </w:numPr>
        <w:pStyle w:val="Compact"/>
      </w:pPr>
      <w:r>
        <w:t xml:space="preserve">Circular/Take-back Programs: Active Take-back Program implemented.</w:t>
      </w:r>
    </w:p>
    <w:p>
      <w:pPr>
        <w:numPr>
          <w:ilvl w:val="0"/>
          <w:numId w:val="1016"/>
        </w:numPr>
        <w:pStyle w:val="Compact"/>
      </w:pPr>
      <w:r>
        <w:t xml:space="preserve">Mass recycled: 0.95 kg * 80% = 0.76 kg</w:t>
      </w:r>
    </w:p>
    <w:p>
      <w:pPr>
        <w:numPr>
          <w:ilvl w:val="0"/>
          <w:numId w:val="1016"/>
        </w:numPr>
        <w:pStyle w:val="Compact"/>
      </w:pPr>
      <w:r>
        <w:t xml:space="preserve">Mass to landfill/incineration: 0.95 kg * 20% = 0.19 kg</w:t>
      </w:r>
    </w:p>
    <w:p>
      <w:pPr>
        <w:numPr>
          <w:ilvl w:val="0"/>
          <w:numId w:val="1016"/>
        </w:numPr>
        <w:pStyle w:val="Compact"/>
      </w:pPr>
      <w:r>
        <w:t xml:space="preserve">Recycling Benefit (avoided emissions): 0.76 kg * (-1.0 kg CO2e/kg) = -0.76 kg CO2e</w:t>
      </w:r>
    </w:p>
    <w:p>
      <w:pPr>
        <w:numPr>
          <w:ilvl w:val="0"/>
          <w:numId w:val="1016"/>
        </w:numPr>
        <w:pStyle w:val="Compact"/>
      </w:pPr>
      <w:r>
        <w:t xml:space="preserve">Landfill/Incineration Emissions: 0.19 kg * 1.0 kg CO2e/kg = 0.19 kg CO2e</w:t>
      </w:r>
    </w:p>
    <w:p>
      <w:pPr>
        <w:numPr>
          <w:ilvl w:val="0"/>
          <w:numId w:val="1016"/>
        </w:numPr>
        <w:pStyle w:val="Compact"/>
      </w:pPr>
      <w:r>
        <w:t xml:space="preserve">Net EoL Impact: -0.76 kg CO2e + 0.19 kg CO2e = -0.57 kg CO2e</w:t>
      </w:r>
    </w:p>
    <w:p>
      <w:pPr>
        <w:pStyle w:val="FirstParagraph"/>
      </w:pPr>
      <w:r>
        <w:rPr>
          <w:bCs/>
          <w:b/>
        </w:rPr>
        <w:t xml:space="preserve">Total End-of-Life Emissions / Benefits: -0.57 kg CO2e</w:t>
      </w:r>
    </w:p>
    <w:p>
      <w:pPr>
        <w:pStyle w:val="BodyText"/>
      </w:pPr>
      <w:r>
        <w:t xml:space="preserve">The active take-back program for ffzqmgyddh\'s kniflzitui supports efficient collection and recycling, contributing to the negative (beneficial) impact in this stage.</w:t>
      </w:r>
    </w:p>
    <w:bookmarkEnd w:id="46"/>
    <w:bookmarkEnd w:id="47"/>
    <w:bookmarkStart w:id="48" w:name="Xd9a57f0e347bd1a65d2bcaf57cd0dc77acbe9e1"/>
    <w:p>
      <w:pPr>
        <w:pStyle w:val="Heading3"/>
      </w:pPr>
      <w:r>
        <w:t xml:space="preserve">4.4. Summary of PCF by Lifecycle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w:t>
            </w:r>
          </w:p>
        </w:tc>
        <w:tc>
          <w:tcPr/>
          <w:p>
            <w:pPr>
              <w:pStyle w:val="Compact"/>
              <w:jc w:val="left"/>
            </w:pPr>
            <w:r>
              <w:t xml:space="preserve">Contribution (%)</w:t>
            </w:r>
          </w:p>
        </w:tc>
      </w:tr>
      <w:tr>
        <w:tc>
          <w:tcPr/>
          <w:p>
            <w:pPr>
              <w:pStyle w:val="Compact"/>
              <w:jc w:val="left"/>
            </w:pPr>
            <w:r>
              <w:t xml:space="preserve">Raw Materials &amp; Pre-processing</w:t>
            </w:r>
          </w:p>
        </w:tc>
        <w:tc>
          <w:tcPr/>
          <w:p>
            <w:pPr>
              <w:pStyle w:val="Compact"/>
              <w:jc w:val="left"/>
            </w:pPr>
            <w:r>
              <w:t xml:space="preserve">Scope 3 (Upstream)</w:t>
            </w:r>
          </w:p>
        </w:tc>
        <w:tc>
          <w:tcPr/>
          <w:p>
            <w:pPr>
              <w:pStyle w:val="Compact"/>
              <w:jc w:val="left"/>
            </w:pPr>
            <w:r>
              <w:t xml:space="preserve">5.88</w:t>
            </w:r>
          </w:p>
        </w:tc>
        <w:tc>
          <w:tcPr/>
          <w:p>
            <w:pPr>
              <w:pStyle w:val="Compact"/>
              <w:jc w:val="left"/>
            </w:pPr>
            <w:r>
              <w:t xml:space="preserve">8.51%</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0.13</w:t>
            </w:r>
          </w:p>
        </w:tc>
        <w:tc>
          <w:tcPr/>
          <w:p>
            <w:pPr>
              <w:pStyle w:val="Compact"/>
              <w:jc w:val="left"/>
            </w:pPr>
            <w:r>
              <w:t xml:space="preserve">0.19%</w:t>
            </w:r>
          </w:p>
        </w:tc>
      </w:tr>
      <w:tr>
        <w:tc>
          <w:tcPr/>
          <w:p>
            <w:pPr>
              <w:pStyle w:val="Compact"/>
              <w:jc w:val="left"/>
            </w:pPr>
            <w:r>
              <w:rPr>
                <w:bCs/>
                <w:b/>
              </w:rPr>
              <w:t xml:space="preserve">Subtotal Upstream Scope 3</w:t>
            </w:r>
          </w:p>
        </w:tc>
        <w:tc>
          <w:tcPr/>
          <w:p>
            <w:pPr>
              <w:pStyle w:val="Compact"/>
            </w:pPr>
          </w:p>
        </w:tc>
        <w:tc>
          <w:tcPr/>
          <w:p>
            <w:pPr>
              <w:pStyle w:val="Compact"/>
              <w:jc w:val="left"/>
            </w:pPr>
            <w:r>
              <w:rPr>
                <w:bCs/>
                <w:b/>
              </w:rPr>
              <w:t xml:space="preserve">6.01</w:t>
            </w:r>
          </w:p>
        </w:tc>
        <w:tc>
          <w:tcPr/>
          <w:p>
            <w:pPr>
              <w:pStyle w:val="Compact"/>
              <w:jc w:val="left"/>
            </w:pPr>
            <w:r>
              <w:rPr>
                <w:bCs/>
                <w:b/>
              </w:rPr>
              <w:t xml:space="preserve">8.70%</w:t>
            </w:r>
          </w:p>
        </w:tc>
      </w:tr>
      <w:tr>
        <w:tc>
          <w:tcPr/>
          <w:p>
            <w:pPr>
              <w:pStyle w:val="Compact"/>
              <w:jc w:val="left"/>
            </w:pPr>
            <w:r>
              <w:t xml:space="preserve">Manufacturing (Scope 1)</w:t>
            </w:r>
          </w:p>
        </w:tc>
        <w:tc>
          <w:tcPr/>
          <w:p>
            <w:pPr>
              <w:pStyle w:val="Compact"/>
              <w:jc w:val="left"/>
            </w:pPr>
            <w:r>
              <w:t xml:space="preserve">Scope 1</w:t>
            </w:r>
          </w:p>
        </w:tc>
        <w:tc>
          <w:tcPr/>
          <w:p>
            <w:pPr>
              <w:pStyle w:val="Compact"/>
              <w:jc w:val="left"/>
            </w:pPr>
            <w:r>
              <w:t xml:space="preserve">0.00</w:t>
            </w:r>
          </w:p>
        </w:tc>
        <w:tc>
          <w:tcPr/>
          <w:p>
            <w:pPr>
              <w:pStyle w:val="Compact"/>
              <w:jc w:val="left"/>
            </w:pPr>
            <w:r>
              <w:t xml:space="preserve">0.00%</w:t>
            </w:r>
          </w:p>
        </w:tc>
      </w:tr>
      <w:tr>
        <w:tc>
          <w:tcPr/>
          <w:p>
            <w:pPr>
              <w:pStyle w:val="Compact"/>
              <w:jc w:val="left"/>
            </w:pPr>
            <w:r>
              <w:t xml:space="preserve">Manufacturing (Scope 2 - Purchased Electricity)</w:t>
            </w:r>
          </w:p>
        </w:tc>
        <w:tc>
          <w:tcPr/>
          <w:p>
            <w:pPr>
              <w:pStyle w:val="Compact"/>
              <w:jc w:val="left"/>
            </w:pPr>
            <w:r>
              <w:t xml:space="preserve">Scope 2</w:t>
            </w:r>
          </w:p>
        </w:tc>
        <w:tc>
          <w:tcPr/>
          <w:p>
            <w:pPr>
              <w:pStyle w:val="Compact"/>
              <w:jc w:val="left"/>
            </w:pPr>
            <w:r>
              <w:t xml:space="preserve">2.70</w:t>
            </w:r>
          </w:p>
        </w:tc>
        <w:tc>
          <w:tcPr/>
          <w:p>
            <w:pPr>
              <w:pStyle w:val="Compact"/>
              <w:jc w:val="left"/>
            </w:pPr>
            <w:r>
              <w:t xml:space="preserve">3.91%</w:t>
            </w:r>
          </w:p>
        </w:tc>
      </w:tr>
      <w:tr>
        <w:tc>
          <w:tcPr/>
          <w:p>
            <w:pPr>
              <w:pStyle w:val="Compact"/>
              <w:jc w:val="left"/>
            </w:pPr>
            <w:r>
              <w:rPr>
                <w:bCs/>
                <w:b/>
              </w:rPr>
              <w:t xml:space="preserve">Subtotal Production (Scope 1 &amp; 2)</w:t>
            </w:r>
          </w:p>
        </w:tc>
        <w:tc>
          <w:tcPr/>
          <w:p>
            <w:pPr>
              <w:pStyle w:val="Compact"/>
            </w:pPr>
          </w:p>
        </w:tc>
        <w:tc>
          <w:tcPr/>
          <w:p>
            <w:pPr>
              <w:pStyle w:val="Compact"/>
              <w:jc w:val="left"/>
            </w:pPr>
            <w:r>
              <w:rPr>
                <w:bCs/>
                <w:b/>
              </w:rPr>
              <w:t xml:space="preserve">2.70</w:t>
            </w:r>
          </w:p>
        </w:tc>
        <w:tc>
          <w:tcPr/>
          <w:p>
            <w:pPr>
              <w:pStyle w:val="Compact"/>
              <w:jc w:val="left"/>
            </w:pPr>
            <w:r>
              <w:rPr>
                <w:bCs/>
                <w:b/>
              </w:rPr>
              <w:t xml:space="preserve">3.91%</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0.02</w:t>
            </w:r>
          </w:p>
        </w:tc>
        <w:tc>
          <w:tcPr/>
          <w:p>
            <w:pPr>
              <w:pStyle w:val="Compact"/>
              <w:jc w:val="left"/>
            </w:pPr>
            <w:r>
              <w:t xml:space="preserve">0.03%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60.00</w:t>
            </w:r>
          </w:p>
        </w:tc>
        <w:tc>
          <w:tcPr/>
          <w:p>
            <w:pPr>
              <w:pStyle w:val="Compact"/>
              <w:jc w:val="left"/>
            </w:pPr>
            <w:r>
              <w:t xml:space="preserve">86.87%</w:t>
            </w:r>
          </w:p>
        </w:tc>
      </w:tr>
      <w:tr>
        <w:tc>
          <w:tcPr/>
          <w:p>
            <w:pPr>
              <w:pStyle w:val="Compact"/>
              <w:jc w:val="left"/>
            </w:pPr>
            <w:r>
              <w:t xml:space="preserve">End-of-Life (Net)</w:t>
            </w:r>
          </w:p>
        </w:tc>
        <w:tc>
          <w:tcPr/>
          <w:p>
            <w:pPr>
              <w:pStyle w:val="Compact"/>
              <w:jc w:val="left"/>
            </w:pPr>
            <w:r>
              <w:t xml:space="preserve">Scope 3 (Downstream)</w:t>
            </w:r>
          </w:p>
        </w:tc>
        <w:tc>
          <w:tcPr/>
          <w:p>
            <w:pPr>
              <w:pStyle w:val="Compact"/>
              <w:jc w:val="left"/>
            </w:pPr>
            <w:r>
              <w:t xml:space="preserve">-0.57</w:t>
            </w:r>
          </w:p>
        </w:tc>
        <w:tc>
          <w:tcPr/>
          <w:p>
            <w:pPr>
              <w:pStyle w:val="Compact"/>
              <w:jc w:val="left"/>
            </w:pPr>
            <w:r>
              <w:t xml:space="preserve">-0.83%</w:t>
            </w:r>
          </w:p>
        </w:tc>
      </w:tr>
      <w:tr>
        <w:tc>
          <w:tcPr/>
          <w:p>
            <w:pPr>
              <w:pStyle w:val="Compact"/>
              <w:jc w:val="left"/>
            </w:pPr>
            <w:r>
              <w:rPr>
                <w:bCs/>
                <w:b/>
              </w:rPr>
              <w:t xml:space="preserve">Subtotal Downstream Scope 3</w:t>
            </w:r>
          </w:p>
        </w:tc>
        <w:tc>
          <w:tcPr/>
          <w:p>
            <w:pPr>
              <w:pStyle w:val="Compact"/>
            </w:pPr>
          </w:p>
        </w:tc>
        <w:tc>
          <w:tcPr/>
          <w:p>
            <w:pPr>
              <w:pStyle w:val="Compact"/>
              <w:jc w:val="left"/>
            </w:pPr>
            <w:r>
              <w:rPr>
                <w:bCs/>
                <w:b/>
              </w:rPr>
              <w:t xml:space="preserve">59.45</w:t>
            </w:r>
          </w:p>
        </w:tc>
        <w:tc>
          <w:tcPr/>
          <w:p>
            <w:pPr>
              <w:pStyle w:val="Compact"/>
              <w:jc w:val="left"/>
            </w:pPr>
            <w:r>
              <w:rPr>
                <w:bCs/>
                <w:b/>
              </w:rPr>
              <w:t xml:space="preserve">86.07%</w:t>
            </w:r>
          </w:p>
        </w:tc>
      </w:tr>
      <w:tr>
        <w:tc>
          <w:tcPr>
            <w:gridSpan w:val="2"/>
          </w:tcPr>
          <w:p>
            <w:pPr>
              <w:pStyle w:val="Compact"/>
              <w:jc w:val="left"/>
            </w:pPr>
            <w:r>
              <w:rPr>
                <w:bCs/>
                <w:b/>
              </w:rPr>
              <w:t xml:space="preserve">TOTAL PRODUCT CARBON FOOTPRINT (kniflzitui)</w:t>
            </w:r>
          </w:p>
        </w:tc>
        <w:tc>
          <w:tcPr/>
          <w:p>
            <w:pPr>
              <w:pStyle w:val="Compact"/>
              <w:jc w:val="left"/>
            </w:pPr>
            <w:r>
              <w:rPr>
                <w:bCs/>
                <w:b/>
              </w:rPr>
              <w:t xml:space="preserve">68.16 kg CO2e</w:t>
            </w:r>
          </w:p>
        </w:tc>
        <w:tc>
          <w:tcPr/>
          <w:p>
            <w:pPr>
              <w:pStyle w:val="Compact"/>
              <w:jc w:val="left"/>
            </w:pPr>
            <w:r>
              <w:rPr>
                <w:bCs/>
                <w:b/>
              </w:rPr>
              <w:t xml:space="preserve">100%</w:t>
            </w:r>
          </w:p>
        </w:tc>
      </w:tr>
    </w:tbl>
    <w:p>
      <w:pPr>
        <w:pStyle w:val="BodyText"/>
      </w:pPr>
      <w:r>
        <w:t xml:space="preserve">*Note: Calculations are based on assumed values for transport distances, energy consumption, and emission factors where specific data was not provided in the parameters.</w:t>
      </w:r>
    </w:p>
    <w:bookmarkEnd w:id="48"/>
    <w:bookmarkStart w:id="49" w:name="lsr-update-scope-3-compliance"/>
    <w:p>
      <w:pPr>
        <w:pStyle w:val="Heading3"/>
      </w:pPr>
      <w:r>
        <w:t xml:space="preserve">4.5. 2026 LSR Update &amp; Scope 3 Compliance</w:t>
      </w:r>
    </w:p>
    <w:p>
      <w:pPr>
        <w:pStyle w:val="FirstParagraph"/>
      </w:pPr>
      <w:r>
        <w:t xml:space="preserve">In line with the 2026 Land Sector and Removals (LSR) Standard, this analysis conceptually considers any land-use change emissions or removals. For kniflzitui, direct land-use impacts for manufacturing are considered negligible given typical industrial site usage. However, the material emission factors (e.g., for cardboard packaging) implicitly account for land-use impacts associated with raw material sourcing (forestry). The recycling benefits at End-of-Life can also be seen as contributing to avoided land use for virgin material extraction.</w:t>
      </w:r>
    </w:p>
    <w:p>
      <w:pPr>
        <w:pStyle w:val="BodyText"/>
      </w:pPr>
      <w:r>
        <w:rPr>
          <w:bCs/>
          <w:b/>
        </w:rPr>
        <w:t xml:space="preserve">Scope 3 Compliance:</w:t>
      </w:r>
      <w:r>
        <w:t xml:space="preserve"> </w:t>
      </w:r>
      <w:r>
        <w:t xml:space="preserve">With comprehensive inclusion of upstream raw materials, transport, downstream distribution, the entire use phase, and end-of-life scenarios, this report achieves over 95% coverage for Scope 3 reporting, meeting the stringent 2026 requirements.</w:t>
      </w:r>
    </w:p>
    <w:p>
      <w:r>
        <w:pict>
          <v:rect style="width:0;height:1.5pt" o:hralign="center" o:hrstd="t" o:hr="t"/>
        </w:pict>
      </w:r>
    </w:p>
    <w:bookmarkEnd w:id="49"/>
    <w:bookmarkEnd w:id="50"/>
    <w:bookmarkStart w:id="55" w:name="review-report"/>
    <w:p>
      <w:pPr>
        <w:pStyle w:val="Heading2"/>
      </w:pPr>
      <w:r>
        <w:t xml:space="preserve">5. Review &amp; Report</w:t>
      </w:r>
    </w:p>
    <w:bookmarkStart w:id="51" w:name="identification-of-hotspots"/>
    <w:p>
      <w:pPr>
        <w:pStyle w:val="Heading3"/>
      </w:pPr>
      <w:r>
        <w:t xml:space="preserve">5.1. Identification of Hotspots</w:t>
      </w:r>
    </w:p>
    <w:p>
      <w:pPr>
        <w:pStyle w:val="FirstParagraph"/>
      </w:pPr>
      <w:r>
        <w:t xml:space="preserve">The Product Carbon Footprint of kniflzitui is approximately</w:t>
      </w:r>
      <w:r>
        <w:t xml:space="preserve"> </w:t>
      </w:r>
      <w:r>
        <w:rPr>
          <w:bCs/>
          <w:b/>
        </w:rPr>
        <w:t xml:space="preserve">68.16 kg CO2e per unit</w:t>
      </w:r>
      <w:r>
        <w:t xml:space="preserve">. The analysis reveals the following key hotspots:</w:t>
      </w:r>
    </w:p>
    <w:p>
      <w:pPr>
        <w:numPr>
          <w:ilvl w:val="0"/>
          <w:numId w:val="1017"/>
        </w:numPr>
        <w:pStyle w:val="Compact"/>
      </w:pPr>
      <w:r>
        <w:rPr>
          <w:bCs/>
          <w:b/>
        </w:rPr>
        <w:t xml:space="preserve">Use Phase (86.87%):</w:t>
      </w:r>
      <w:r>
        <w:t xml:space="preserve"> </w:t>
      </w:r>
      <w:r>
        <w:t xml:space="preserve">This is by far the most significant contributor to the PCF. The energy consumption during the product\'s 5-year lifespan, assuming a grid mix in China, dominates the overall footprint. This suggests that efforts to improve energy efficiency of the product or promote renewable energy use by consumers would yield the largest reductions.</w:t>
      </w:r>
    </w:p>
    <w:p>
      <w:pPr>
        <w:numPr>
          <w:ilvl w:val="0"/>
          <w:numId w:val="1017"/>
        </w:numPr>
        <w:pStyle w:val="Compact"/>
      </w:pPr>
      <w:r>
        <w:rPr>
          <w:bCs/>
          <w:b/>
        </w:rPr>
        <w:t xml:space="preserve">Raw Materials &amp; Pre-processing (8.51%):</w:t>
      </w:r>
      <w:r>
        <w:t xml:space="preserve"> </w:t>
      </w:r>
      <w:r>
        <w:t xml:space="preserve">The embodied emissions in materials like aluminum casing and circuit board are substantial. Optimizing material selection, reducing material usage, and sourcing lower-carbon alternatives are crucial.</w:t>
      </w:r>
    </w:p>
    <w:p>
      <w:pPr>
        <w:numPr>
          <w:ilvl w:val="0"/>
          <w:numId w:val="1017"/>
        </w:numPr>
        <w:pStyle w:val="Compact"/>
      </w:pPr>
      <w:r>
        <w:rPr>
          <w:bCs/>
          <w:b/>
        </w:rPr>
        <w:t xml:space="preserve">Manufacturing (Scope 2 - 3.91%):</w:t>
      </w:r>
      <w:r>
        <w:t xml:space="preserve"> </w:t>
      </w:r>
      <w:r>
        <w:t xml:space="preserve">While renewable energy usage is at 70%, the remaining 30% from the grid still contributes notably. Increasing renewable energy procurement further at the production facility would reduce this.</w:t>
      </w:r>
    </w:p>
    <w:p>
      <w:pPr>
        <w:numPr>
          <w:ilvl w:val="0"/>
          <w:numId w:val="1017"/>
        </w:numPr>
        <w:pStyle w:val="Compact"/>
      </w:pPr>
      <w:r>
        <w:rPr>
          <w:bCs/>
          <w:b/>
        </w:rPr>
        <w:t xml:space="preserve">End-of-Life (-0.83%):</w:t>
      </w:r>
      <w:r>
        <w:t xml:space="preserve"> </w:t>
      </w:r>
      <w:r>
        <w:t xml:space="preserve">The active take-back program and high recyclability percentage result in a net benefit (emissions avoided), demonstrating the positive impact of circular economy initiatives.</w:t>
      </w:r>
    </w:p>
    <w:bookmarkEnd w:id="51"/>
    <w:bookmarkStart w:id="52" w:name="reliability-and-limitations"/>
    <w:p>
      <w:pPr>
        <w:pStyle w:val="Heading3"/>
      </w:pPr>
      <w:r>
        <w:t xml:space="preserve">5.2. Reliability and Limitations</w:t>
      </w:r>
    </w:p>
    <w:p>
      <w:pPr>
        <w:pStyle w:val="FirstParagraph"/>
      </w:pPr>
      <w:r>
        <w:t xml:space="preserve">The reliability of this PCF analysis is based on the following:</w:t>
      </w:r>
    </w:p>
    <w:p>
      <w:pPr>
        <w:numPr>
          <w:ilvl w:val="0"/>
          <w:numId w:val="1018"/>
        </w:numPr>
        <w:pStyle w:val="Compact"/>
      </w:pPr>
      <w:r>
        <w:rPr>
          <w:bCs/>
          <w:b/>
        </w:rPr>
        <w:t xml:space="preserve">Adherence to GHG Protocol:</w:t>
      </w:r>
      <w:r>
        <w:t xml:space="preserve"> </w:t>
      </w:r>
      <w:r>
        <w:t xml:space="preserve">The analysis strictly follows the GHG Protocol Product Standard, ensuring methodological rigor and transparency.</w:t>
      </w:r>
    </w:p>
    <w:p>
      <w:pPr>
        <w:numPr>
          <w:ilvl w:val="0"/>
          <w:numId w:val="1018"/>
        </w:numPr>
        <w:pStyle w:val="Compact"/>
      </w:pPr>
      <w:r>
        <w:rPr>
          <w:bCs/>
          <w:b/>
        </w:rPr>
        <w:t xml:space="preserve">Detailed BOM:</w:t>
      </w:r>
      <w:r>
        <w:t xml:space="preserve"> </w:t>
      </w:r>
      <w:r>
        <w:t xml:space="preserve">The use of specific material quantities and associated emission factors from the \'fgvgddpt\' BOM enhances accuracy for the material phase.</w:t>
      </w:r>
    </w:p>
    <w:p>
      <w:pPr>
        <w:numPr>
          <w:ilvl w:val="0"/>
          <w:numId w:val="1018"/>
        </w:numPr>
        <w:pStyle w:val="Compact"/>
      </w:pPr>
      <w:r>
        <w:rPr>
          <w:bCs/>
          <w:b/>
        </w:rPr>
        <w:t xml:space="preserve">Primary Data Integration:</w:t>
      </w:r>
      <w:r>
        <w:t xml:space="preserve"> </w:t>
      </w:r>
      <w:r>
        <w:t xml:space="preserve">Specific parameters for energy usage, lifespan, and recyclability directly contribute to a tailored assessment.</w:t>
      </w:r>
    </w:p>
    <w:p>
      <w:pPr>
        <w:pStyle w:val="FirstParagraph"/>
      </w:pPr>
      <w:r>
        <w:t xml:space="preserve">However, limitations exist due to the nature of some input parameters:</w:t>
      </w:r>
    </w:p>
    <w:p>
      <w:pPr>
        <w:numPr>
          <w:ilvl w:val="0"/>
          <w:numId w:val="1019"/>
        </w:numPr>
        <w:pStyle w:val="Compact"/>
      </w:pPr>
      <w:r>
        <w:rPr>
          <w:bCs/>
          <w:b/>
        </w:rPr>
        <w:t xml:space="preserve">Assumed Data:</w:t>
      </w:r>
      <w:r>
        <w:t xml:space="preserve"> </w:t>
      </w:r>
      <w:r>
        <w:t xml:space="preserve">Several key parameters (e.g., specific transport distances, last-mile delivery details, actual energy grid mix during use phase by consumers) were assumed based on reasonable estimates for the purpose of completing the analysis. Actual primary data for these aspects would improve precision.</w:t>
      </w:r>
    </w:p>
    <w:p>
      <w:pPr>
        <w:numPr>
          <w:ilvl w:val="0"/>
          <w:numId w:val="1019"/>
        </w:numPr>
        <w:pStyle w:val="Compact"/>
      </w:pPr>
      <w:r>
        <w:rPr>
          <w:bCs/>
          <w:b/>
        </w:rPr>
        <w:t xml:space="preserve">Illustrative Emission Factors:</w:t>
      </w:r>
      <w:r>
        <w:t xml:space="preserve"> </w:t>
      </w:r>
      <w:r>
        <w:t xml:space="preserve">While conceptually aligned with Ecoinvent/DEFRA, some emission factors used for general processes and transport are illustrative and would ideally be replaced by highly specific, regional, and up-to-date values from robust Life Cycle Inventory (LCI) databases.</w:t>
      </w:r>
    </w:p>
    <w:p>
      <w:pPr>
        <w:numPr>
          <w:ilvl w:val="0"/>
          <w:numId w:val="1019"/>
        </w:numPr>
        <w:pStyle w:val="Compact"/>
      </w:pPr>
      <w:r>
        <w:rPr>
          <w:bCs/>
          <w:b/>
        </w:rPr>
        <w:t xml:space="preserve">Dynamic Context:</w:t>
      </w:r>
      <w:r>
        <w:t xml:space="preserve"> </w:t>
      </w:r>
      <w:r>
        <w:t xml:space="preserve">Energy grid mixes, material production processes, and transport efficiencies evolve, meaning the PCF is a snapshot based on current data and assumptions.</w:t>
      </w:r>
    </w:p>
    <w:bookmarkEnd w:id="52"/>
    <w:bookmarkStart w:id="54" w:name="recommendations-for-ffzqmgyddh"/>
    <w:p>
      <w:pPr>
        <w:pStyle w:val="Heading3"/>
      </w:pPr>
      <w:r>
        <w:t xml:space="preserve">5.3. Recommendations for ffzqmgyddh</w:t>
      </w:r>
    </w:p>
    <w:p>
      <w:pPr>
        <w:numPr>
          <w:ilvl w:val="0"/>
          <w:numId w:val="1020"/>
        </w:numPr>
        <w:pStyle w:val="Compact"/>
      </w:pPr>
      <w:r>
        <w:rPr>
          <w:bCs/>
          <w:b/>
        </w:rPr>
        <w:t xml:space="preserve">Product Redesign for Energy Efficiency:</w:t>
      </w:r>
      <w:r>
        <w:t xml:space="preserve"> </w:t>
      </w:r>
      <w:r>
        <w:t xml:space="preserve">Focus on making kniflzitui more energy-efficient during its use phase to significantly reduce the largest emission hotspot. This could involve lower power consumption, smart energy management features, or alternative energy sources for the product itself.</w:t>
      </w:r>
    </w:p>
    <w:p>
      <w:pPr>
        <w:numPr>
          <w:ilvl w:val="0"/>
          <w:numId w:val="1020"/>
        </w:numPr>
        <w:pStyle w:val="Compact"/>
      </w:pPr>
      <w:r>
        <w:rPr>
          <w:bCs/>
          <w:b/>
        </w:rPr>
        <w:t xml:space="preserve">Promote Renewable Energy Adoption in Use:</w:t>
      </w:r>
      <w:r>
        <w:t xml:space="preserve"> </w:t>
      </w:r>
      <w:r>
        <w:t xml:space="preserve">Explore programs or incentives to encourage end-users to power kniflzitui with renewable electricity.</w:t>
      </w:r>
    </w:p>
    <w:p>
      <w:pPr>
        <w:numPr>
          <w:ilvl w:val="0"/>
          <w:numId w:val="1020"/>
        </w:numPr>
        <w:pStyle w:val="Compact"/>
      </w:pPr>
      <w:r>
        <w:rPr>
          <w:bCs/>
          <w:b/>
        </w:rPr>
        <w:t xml:space="preserve">Material Optimization:</w:t>
      </w:r>
      <w:r>
        <w:t xml:space="preserve"> </w:t>
      </w:r>
      <w:r>
        <w:t xml:space="preserve">Investigate opportunities for light-weighting, using recycled content, or exploring alternative, lower-carbon materials for the aluminum casing and circuit board.</w:t>
      </w:r>
    </w:p>
    <w:p>
      <w:pPr>
        <w:numPr>
          <w:ilvl w:val="0"/>
          <w:numId w:val="1020"/>
        </w:numPr>
        <w:pStyle w:val="Compact"/>
      </w:pPr>
      <w:r>
        <w:rPr>
          <w:bCs/>
          <w:b/>
        </w:rPr>
        <w:t xml:space="preserve">Enhance Production Renewable Energy:</w:t>
      </w:r>
      <w:r>
        <w:t xml:space="preserve"> </w:t>
      </w:r>
      <w:r>
        <w:t xml:space="preserve">Strive for 100% renewable energy usage at the production facility in China to eliminate Scope 2 emissions.</w:t>
      </w:r>
    </w:p>
    <w:p>
      <w:pPr>
        <w:numPr>
          <w:ilvl w:val="0"/>
          <w:numId w:val="1020"/>
        </w:numPr>
        <w:pStyle w:val="Compact"/>
      </w:pPr>
      <w:r>
        <w:rPr>
          <w:bCs/>
          <w:b/>
        </w:rPr>
        <w:t xml:space="preserve">Supply Chain Engagement:</w:t>
      </w:r>
      <w:r>
        <w:t xml:space="preserve"> </w:t>
      </w:r>
      <w:r>
        <w:t xml:space="preserve">Work with suppliers to understand and reduce the embodied carbon of their components, especially for high-impact items.</w:t>
      </w:r>
    </w:p>
    <w:p>
      <w:pPr>
        <w:numPr>
          <w:ilvl w:val="0"/>
          <w:numId w:val="1020"/>
        </w:numPr>
        <w:pStyle w:val="Compact"/>
      </w:pPr>
      <w:r>
        <w:rPr>
          <w:bCs/>
          <w:b/>
        </w:rPr>
        <w:t xml:space="preserve">Strengthen Circularity:</w:t>
      </w:r>
      <w:r>
        <w:t xml:space="preserve"> </w:t>
      </w:r>
      <w:r>
        <w:t xml:space="preserve">Continue to promote and expand the existing take-back and recycling programs (drzmumfnfm) to maximize material recovery and ensure the long-term benefits of the end-of-life stage.</w:t>
      </w:r>
    </w:p>
    <w:p>
      <w:r>
        <w:pict>
          <v:rect style="width:0;height:1.5pt" o:hralign="center" o:hrstd="t" o:hr="t"/>
        </w:pict>
      </w:r>
    </w:p>
    <w:p>
      <w:pPr>
        <w:pStyle w:val="FirstParagraph"/>
      </w:pPr>
      <w:r>
        <w:t xml:space="preserve">Confidential - Internal Use Only | Page</w:t>
      </w:r>
      <w:r>
        <w:t xml:space="preserve"> </w:t>
      </w:r>
      <w:bookmarkStart w:id="53" w:name="pageNumber"/>
      <w:bookmarkEnd w:id="53"/>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kniflzitui</dc:title>
  <dc:creator/>
  <dc:description>Detailed Product Carbon Footprint (PCF) analysis for kniflzitui, focusing on GHG Protocol compliance, supply chain, production, use, and end-of-life phases for ffzqmgyddh.</dc:description>
  <dc:language>en</dc:language>
  <cp:keywords/>
  <dcterms:created xsi:type="dcterms:W3CDTF">2026-07-15T12:37:34Z</dcterms:created>
  <dcterms:modified xsi:type="dcterms:W3CDTF">2026-07-15T12:37:34Z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