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kkwovunoir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kkwovunoir</w:t>
      </w:r>
    </w:p>
    <w:p>
      <w:pPr>
        <w:pStyle w:val="BodyText"/>
      </w:pPr>
      <w:r>
        <w:rPr>
          <w:bCs/>
          <w:b/>
        </w:rPr>
        <w:t xml:space="preserve">Company:</w:t>
      </w:r>
      <w:r>
        <w:t xml:space="preserve"> </w:t>
      </w:r>
      <w:r>
        <w:t xml:space="preserve">rltlothtol</w:t>
      </w:r>
    </w:p>
    <w:p>
      <w:pPr>
        <w:pStyle w:val="BodyText"/>
      </w:pPr>
      <w:r>
        <w:rPr>
          <w:bCs/>
          <w:b/>
        </w:rPr>
        <w:t xml:space="preserve">Senior Sustainability Consultant:</w:t>
      </w:r>
      <w:r>
        <w:t xml:space="preserve"> </w:t>
      </w:r>
      <w:r>
        <w:t xml:space="preserve">zhrygommjp</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carbon footprint may vary depending on data completeness and methodology assumptions.</w:t>
      </w:r>
    </w:p>
    <w:bookmarkEnd w:id="20"/>
    <w:bookmarkStart w:id="21" w:name="X20e69eddcc3ee497bced49aac9bacbeee7945f2"/>
    <w:p>
      <w:pPr>
        <w:pStyle w:val="Heading1"/>
      </w:pPr>
      <w:r>
        <w:t xml:space="preserve">Product Carbon Footprint Analysis for kkwovunoir</w:t>
      </w:r>
    </w:p>
    <w:p>
      <w:pPr>
        <w:pStyle w:val="FirstParagraph"/>
      </w:pPr>
      <w:r>
        <w:t xml:space="preserve">Generated Date: May 21, 2026</w:t>
      </w:r>
    </w:p>
    <w:bookmarkEnd w:id="21"/>
    <w:bookmarkStart w:id="22" w:name="executive-summary"/>
    <w:p>
      <w:pPr>
        <w:pStyle w:val="Heading2"/>
      </w:pPr>
      <w:r>
        <w:t xml:space="preserve">Executive Summary</w:t>
      </w:r>
    </w:p>
    <w:bookmarkEnd w:id="22"/>
    <w:p>
      <w:pPr>
        <w:pStyle w:val="FirstParagraph"/>
      </w:pPr>
      <w:r>
        <w:t xml:space="preserve">This report presents a high-detail Product Carbon Footprint (PCF) analysis for \'kkwovunoir\', manufactured by \'rltlothtol\'. The analysis was conducted by Senior Sustainability Consultant zhrygommjp, strictly adhering to the GHG Protocol, including the 2026 Land Sector and Removals (LSR) Standard and targeting 95% Scope 3 coverage. The primary goal is to quantify the greenhouse gas (GHG) emissions associated with \'kkwovunoir\' across its lifecycle, from raw material extraction to end-of-life, identify emission hotspots, and provide a reliable baseline for future sustainability initiatives. This comprehensive assessment integrates specific company data for materials, energy, logistics, and end-of-life scenarios to ensure accuracy.</w:t>
      </w:r>
    </w:p>
    <w:p>
      <w:r>
        <w:pict>
          <v:rect style="width:0;height:1.5pt" o:hralign="center" o:hrstd="t" o:hr="t"/>
        </w:pict>
      </w:r>
    </w:p>
    <w:bookmarkStart w:id="23" w:name="defining-the-scope"/>
    <w:p>
      <w:pPr>
        <w:pStyle w:val="Heading2"/>
      </w:pPr>
      <w:r>
        <w:t xml:space="preserve">1. Defining the Scope</w:t>
      </w:r>
    </w:p>
    <w:bookmarkEnd w:id="23"/>
    <w:p>
      <w:pPr>
        <w:numPr>
          <w:ilvl w:val="0"/>
          <w:numId w:val="1001"/>
        </w:numPr>
        <w:pStyle w:val="Compact"/>
      </w:pPr>
      <w:r>
        <w:rPr>
          <w:bCs/>
          <w:b/>
        </w:rPr>
        <w:t xml:space="preserve">Functional Unit:</w:t>
      </w:r>
      <w:r>
        <w:t xml:space="preserve"> </w:t>
      </w:r>
      <w:r>
        <w:t xml:space="preserve">The functional unit for this analysis is defined as 1.0 unit of \'kkwovunoir\'. This provides a standardized reference for quantifying and comparing environmental impacts.</w:t>
      </w:r>
    </w:p>
    <w:p>
      <w:pPr>
        <w:numPr>
          <w:ilvl w:val="0"/>
          <w:numId w:val="1001"/>
        </w:numPr>
        <w:pStyle w:val="Compact"/>
      </w:pPr>
      <w:r>
        <w:rPr>
          <w:bCs/>
          <w:b/>
        </w:rPr>
        <w:t xml:space="preserve">System Boundary:</w:t>
      </w:r>
      <w:r>
        <w:t xml:space="preserve"> </w:t>
      </w:r>
      <w:r>
        <w:t xml:space="preserve">The system boundary for this PCF analysis is defined as \'factory_gate\' for the primary production phase. However, as per client requirements, the analysis extends to a cradle-to-grave perspective, encompassing raw material acquisition, manufacturing, transportation, use phase, and end-of-life, to provide a holistic view of the product\'s environmental impact. This broader view ensures a comprehensive understanding of the product\'s value chain emissions.</w:t>
      </w:r>
    </w:p>
    <w:p>
      <w:pPr>
        <w:numPr>
          <w:ilvl w:val="0"/>
          <w:numId w:val="1001"/>
        </w:numPr>
        <w:pStyle w:val="Compact"/>
      </w:pPr>
      <w:r>
        <w:rPr>
          <w:bCs/>
          <w:b/>
        </w:rPr>
        <w:t xml:space="preserve">Geographic Scope:</w:t>
      </w:r>
      <w:r>
        <w:t xml:space="preserve"> </w:t>
      </w:r>
      <w:r>
        <w:t xml:space="preserve">The final production country for \'kkwovunoir\' is China. The supply chain focus is Europe, indicating that key components and processes leading up to final assembly often originate from or involve European operations.</w:t>
      </w:r>
    </w:p>
    <w:p>
      <w:pPr>
        <w:numPr>
          <w:ilvl w:val="0"/>
          <w:numId w:val="1001"/>
        </w:numPr>
        <w:pStyle w:val="Compact"/>
      </w:pPr>
      <w:r>
        <w:rPr>
          <w:bCs/>
          <w:b/>
        </w:rPr>
        <w:t xml:space="preserve">Accounting Standard:</w:t>
      </w:r>
      <w:r>
        <w:t xml:space="preserve"> </w:t>
      </w:r>
      <w:r>
        <w:t xml:space="preserve">This Product Carbon Footprint analysis is conducted in full compliance with the Greenhouse Gas (GHG) Protocol Product Standard. The methodology is aligned with best practices for quantifying GHG emissions across a product\'s lifecycle. Additionally, it incorporates the latest 2026 Land Sector and Removals (LSR) Standard to accurately account for land use change and carbon removal impacts.</w:t>
      </w:r>
    </w:p>
    <w:p>
      <w:pPr>
        <w:numPr>
          <w:ilvl w:val="0"/>
          <w:numId w:val="1001"/>
        </w:numPr>
        <w:pStyle w:val="Compact"/>
      </w:pPr>
      <w:r>
        <w:rPr>
          <w:bCs/>
          <w:b/>
        </w:rPr>
        <w:t xml:space="preserve">Allocation:</w:t>
      </w:r>
      <w:r>
        <w:t xml:space="preserve"> </w:t>
      </w:r>
      <w:r>
        <w:t xml:space="preserve">Emissions are allocated directly to the functional unit (1.0 unit of kkwovunoir). Where shared processes or facilities are involved, a mass-based or economic allocation approach is employed to attribute emissions fairly to the product.</w:t>
      </w:r>
    </w:p>
    <w:p>
      <w:r>
        <w:pict>
          <v:rect style="width:0;height:1.5pt" o:hralign="center" o:hrstd="t" o:hr="t"/>
        </w:pict>
      </w:r>
    </w:p>
    <w:bookmarkStart w:id="24" w:name="X718d59cd51f1ada0736cf15d17320a17e129e8a"/>
    <w:p>
      <w:pPr>
        <w:pStyle w:val="Heading2"/>
      </w:pPr>
      <w:r>
        <w:t xml:space="preserve">2. &amp; 3. Mapping the Lifecycle and Collecting Data (LCI)</w:t>
      </w:r>
    </w:p>
    <w:bookmarkEnd w:id="24"/>
    <w:p>
      <w:pPr>
        <w:pStyle w:val="FirstParagraph"/>
      </w:pPr>
      <w:r>
        <w:t xml:space="preserve">The lifecycle of \'kkwovunoir\' is mapped across five key stages: Raw Material Acquisition, Manufacturing, Transportation &amp; Distribution, Use Phase, and End-of-Life. Data collection involved integrating specific primary data points provided for materials, energy, logistics, and end-of-life scenarios, complemented by secondary data from industry-standard databases where primary data was unavailable or for generic emission factors (e.g., Ecoinvent, DEFRA).</w:t>
      </w:r>
    </w:p>
    <w:bookmarkStart w:id="25" w:name="X08280b5120b06cc008710731ef3ceb5bc8e0a4a"/>
    <w:p>
      <w:pPr>
        <w:pStyle w:val="Heading3"/>
      </w:pPr>
      <w:r>
        <w:t xml:space="preserve">Detailed Bill of Materials (BOM) - jpjkqezo</w:t>
      </w:r>
    </w:p>
    <w:p>
      <w:pPr>
        <w:pStyle w:val="FirstParagraph"/>
      </w:pPr>
      <w:r>
        <w:t xml:space="preserve">The following table details the Bill of Materials (BOM) provided, including specific emission factors and total carbon values, which are directly used for calculating material impacts. These values replace default estimates to ensure high accuracy in material-related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Steel Frame Component</w:t>
            </w:r>
          </w:p>
        </w:tc>
        <w:tc>
          <w:tcPr/>
          <w:p>
            <w:pPr>
              <w:pStyle w:val="Compact"/>
              <w:jc w:val="left"/>
            </w:pPr>
            <w:r>
              <w:t xml:space="preserve">Metal</w:t>
            </w:r>
          </w:p>
        </w:tc>
        <w:tc>
          <w:tcPr/>
          <w:p>
            <w:pPr>
              <w:pStyle w:val="Compact"/>
              <w:jc w:val="left"/>
            </w:pPr>
            <w:r>
              <w:t xml:space="preserve">Steel Production (China)</w:t>
            </w:r>
          </w:p>
        </w:tc>
        <w:tc>
          <w:tcPr/>
          <w:p>
            <w:pPr>
              <w:pStyle w:val="Compact"/>
              <w:jc w:val="left"/>
            </w:pPr>
            <w:r>
              <w:t xml:space="preserve">0.8</w:t>
            </w:r>
          </w:p>
        </w:tc>
        <w:tc>
          <w:tcPr/>
          <w:p>
            <w:pPr>
              <w:pStyle w:val="Compact"/>
              <w:jc w:val="left"/>
            </w:pPr>
            <w:r>
              <w:t xml:space="preserve">kg</w:t>
            </w:r>
          </w:p>
        </w:tc>
        <w:tc>
          <w:tcPr/>
          <w:p>
            <w:pPr>
              <w:pStyle w:val="Compact"/>
              <w:jc w:val="left"/>
            </w:pPr>
            <w:r>
              <w:t xml:space="preserve">2.2</w:t>
            </w:r>
          </w:p>
        </w:tc>
        <w:tc>
          <w:tcPr/>
          <w:p>
            <w:pPr>
              <w:pStyle w:val="Compact"/>
              <w:jc w:val="left"/>
            </w:pPr>
            <w:r>
              <w:t xml:space="preserve">1.76</w:t>
            </w:r>
          </w:p>
        </w:tc>
      </w:tr>
      <w:tr>
        <w:tc>
          <w:tcPr/>
          <w:p>
            <w:pPr>
              <w:pStyle w:val="Compact"/>
              <w:jc w:val="left"/>
            </w:pPr>
            <w:r>
              <w:t xml:space="preserve">102</w:t>
            </w:r>
          </w:p>
        </w:tc>
        <w:tc>
          <w:tcPr/>
          <w:p>
            <w:pPr>
              <w:pStyle w:val="Compact"/>
              <w:jc w:val="left"/>
            </w:pPr>
            <w:r>
              <w:t xml:space="preserve">Recycled ABS Casing</w:t>
            </w:r>
          </w:p>
        </w:tc>
        <w:tc>
          <w:tcPr/>
          <w:p>
            <w:pPr>
              <w:pStyle w:val="Compact"/>
              <w:jc w:val="left"/>
            </w:pPr>
            <w:r>
              <w:t xml:space="preserve">Plastic</w:t>
            </w:r>
          </w:p>
        </w:tc>
        <w:tc>
          <w:tcPr/>
          <w:p>
            <w:pPr>
              <w:pStyle w:val="Compact"/>
              <w:jc w:val="left"/>
            </w:pPr>
            <w:r>
              <w:t xml:space="preserve">Injection Molding (China)</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103</w:t>
            </w:r>
          </w:p>
        </w:tc>
        <w:tc>
          <w:tcPr/>
          <w:p>
            <w:pPr>
              <w:pStyle w:val="Compact"/>
              <w:jc w:val="left"/>
            </w:pPr>
            <w:r>
              <w:t xml:space="preserve">Integrated Circuit Board (PCB)</w:t>
            </w:r>
          </w:p>
        </w:tc>
        <w:tc>
          <w:tcPr/>
          <w:p>
            <w:pPr>
              <w:pStyle w:val="Compact"/>
              <w:jc w:val="left"/>
            </w:pPr>
            <w:r>
              <w:t xml:space="preserve">Electronics</w:t>
            </w:r>
          </w:p>
        </w:tc>
        <w:tc>
          <w:tcPr/>
          <w:p>
            <w:pPr>
              <w:pStyle w:val="Compact"/>
              <w:jc w:val="left"/>
            </w:pPr>
            <w:r>
              <w:t xml:space="preserve">Assembly &amp; Etching (China)</w:t>
            </w:r>
          </w:p>
        </w:tc>
        <w:tc>
          <w:tcPr/>
          <w:p>
            <w:pPr>
              <w:pStyle w:val="Compact"/>
              <w:jc w:val="left"/>
            </w:pPr>
            <w:r>
              <w:t xml:space="preserve">1</w:t>
            </w:r>
          </w:p>
        </w:tc>
        <w:tc>
          <w:tcPr/>
          <w:p>
            <w:pPr>
              <w:pStyle w:val="Compact"/>
              <w:jc w:val="left"/>
            </w:pPr>
            <w:r>
              <w:t xml:space="preserve">unit</w:t>
            </w:r>
          </w:p>
        </w:tc>
        <w:tc>
          <w:tcPr/>
          <w:p>
            <w:pPr>
              <w:pStyle w:val="Compact"/>
              <w:jc w:val="left"/>
            </w:pPr>
            <w:r>
              <w:t xml:space="preserve">4.8</w:t>
            </w:r>
          </w:p>
        </w:tc>
        <w:tc>
          <w:tcPr/>
          <w:p>
            <w:pPr>
              <w:pStyle w:val="Compact"/>
              <w:jc w:val="left"/>
            </w:pPr>
            <w:r>
              <w:t xml:space="preserve">4.80</w:t>
            </w:r>
          </w:p>
        </w:tc>
      </w:tr>
      <w:tr>
        <w:tc>
          <w:tcPr/>
          <w:p>
            <w:pPr>
              <w:pStyle w:val="Compact"/>
              <w:jc w:val="left"/>
            </w:pPr>
            <w:r>
              <w:t xml:space="preserve">104</w:t>
            </w:r>
          </w:p>
        </w:tc>
        <w:tc>
          <w:tcPr/>
          <w:p>
            <w:pPr>
              <w:pStyle w:val="Compact"/>
              <w:jc w:val="left"/>
            </w:pPr>
            <w:r>
              <w:t xml:space="preserve">Lithium-ion Battery Pack</w:t>
            </w:r>
          </w:p>
        </w:tc>
        <w:tc>
          <w:tcPr/>
          <w:p>
            <w:pPr>
              <w:pStyle w:val="Compact"/>
              <w:jc w:val="left"/>
            </w:pPr>
            <w:r>
              <w:t xml:space="preserve">Chemical/Electronic</w:t>
            </w:r>
          </w:p>
        </w:tc>
        <w:tc>
          <w:tcPr/>
          <w:p>
            <w:pPr>
              <w:pStyle w:val="Compact"/>
              <w:jc w:val="left"/>
            </w:pPr>
            <w:r>
              <w:t xml:space="preserve">Battery Manufacturing (Asia)</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12.0</w:t>
            </w:r>
          </w:p>
        </w:tc>
        <w:tc>
          <w:tcPr/>
          <w:p>
            <w:pPr>
              <w:pStyle w:val="Compact"/>
              <w:jc w:val="left"/>
            </w:pPr>
            <w:r>
              <w:t xml:space="preserve">1.80</w:t>
            </w:r>
          </w:p>
        </w:tc>
      </w:tr>
      <w:tr>
        <w:tc>
          <w:tcPr/>
          <w:p>
            <w:pPr>
              <w:pStyle w:val="Compact"/>
              <w:jc w:val="left"/>
            </w:pPr>
            <w:r>
              <w:t xml:space="preserve">105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 (Europe)</w:t>
            </w:r>
          </w:p>
        </w:tc>
        <w:tc>
          <w:tcPr/>
          <w:p>
            <w:pPr>
              <w:pStyle w:val="Compact"/>
              <w:jc w:val="left"/>
            </w:pPr>
            <w:r>
              <w:t xml:space="preserve">0.05</w:t>
            </w:r>
          </w:p>
        </w:tc>
        <w:tc>
          <w:tcPr/>
          <w:p>
            <w:pPr>
              <w:pStyle w:val="Compact"/>
              <w:jc w:val="left"/>
            </w:pPr>
            <w:r>
              <w:t xml:space="preserve">kg</w:t>
            </w:r>
          </w:p>
        </w:tc>
        <w:tc>
          <w:tcPr/>
          <w:p>
            <w:pPr>
              <w:pStyle w:val="Compact"/>
              <w:jc w:val="left"/>
            </w:pPr>
            <w:r>
              <w:t xml:space="preserve">3.5</w:t>
            </w:r>
          </w:p>
        </w:tc>
        <w:tc>
          <w:tcPr/>
          <w:p>
            <w:pPr>
              <w:pStyle w:val="Compact"/>
              <w:jc w:val="left"/>
            </w:pPr>
            <w:r>
              <w:t xml:space="preserve">0.18</w:t>
            </w:r>
          </w:p>
        </w:tc>
      </w:tr>
      <w:tr>
        <w:tc>
          <w:tcPr/>
          <w:p>
            <w:pPr>
              <w:pStyle w:val="Compact"/>
              <w:jc w:val="left"/>
            </w:pPr>
            <w:r>
              <w:t xml:space="preserve">106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 Mill (Europe)</w:t>
            </w:r>
          </w:p>
        </w:tc>
        <w:tc>
          <w:tcPr/>
          <w:p>
            <w:pPr>
              <w:pStyle w:val="Compact"/>
              <w:jc w:val="left"/>
            </w:pPr>
            <w:r>
              <w:t xml:space="preserve">0.1</w:t>
            </w:r>
          </w:p>
        </w:tc>
        <w:tc>
          <w:tcPr/>
          <w:p>
            <w:pPr>
              <w:pStyle w:val="Compact"/>
              <w:jc w:val="left"/>
            </w:pPr>
            <w:r>
              <w:t xml:space="preserve">kg</w:t>
            </w:r>
          </w:p>
        </w:tc>
        <w:tc>
          <w:tcPr/>
          <w:p>
            <w:pPr>
              <w:pStyle w:val="Compact"/>
              <w:jc w:val="left"/>
            </w:pPr>
            <w:r>
              <w:t xml:space="preserve">0.7</w:t>
            </w:r>
          </w:p>
        </w:tc>
        <w:tc>
          <w:tcPr/>
          <w:p>
            <w:pPr>
              <w:pStyle w:val="Compact"/>
              <w:jc w:val="left"/>
            </w:pPr>
            <w:r>
              <w:t xml:space="preserve">0.07</w:t>
            </w:r>
          </w:p>
        </w:tc>
      </w:tr>
    </w:tbl>
    <w:bookmarkEnd w:id="25"/>
    <w:bookmarkStart w:id="26" w:name="energy-inputs-manufacturing-phase"/>
    <w:p>
      <w:pPr>
        <w:pStyle w:val="Heading3"/>
      </w:pPr>
      <w:r>
        <w:t xml:space="preserve">Energy Inputs (Manufacturing Phase)</w:t>
      </w:r>
    </w:p>
    <w:p>
      <w:pPr>
        <w:numPr>
          <w:ilvl w:val="0"/>
          <w:numId w:val="1002"/>
        </w:numPr>
        <w:pStyle w:val="Compact"/>
      </w:pPr>
      <w:r>
        <w:rPr>
          <w:bCs/>
          <w:b/>
        </w:rPr>
        <w:t xml:space="preserve">Renewable Energy Usage:</w:t>
      </w:r>
      <w:r>
        <w:t xml:space="preserve"> </w:t>
      </w:r>
      <w:r>
        <w:t xml:space="preserve">dqvrrpnrzf% of the electricity used in the manufacturing process is sourced from renewable energy. This significantly reduces Scope 2 emissions.</w:t>
      </w:r>
    </w:p>
    <w:p>
      <w:pPr>
        <w:numPr>
          <w:ilvl w:val="0"/>
          <w:numId w:val="1002"/>
        </w:numPr>
        <w:pStyle w:val="Compact"/>
      </w:pPr>
      <w:r>
        <w:rPr>
          <w:bCs/>
          <w:b/>
        </w:rPr>
        <w:t xml:space="preserve">Energy Intensity (kWh/unit):</w:t>
      </w:r>
      <w:r>
        <w:t xml:space="preserve"> </w:t>
      </w:r>
      <w:r>
        <w:t xml:space="preserve">The manufacturing process has an energy intensity of qvdfehzysu kWh per unit of \'kkwovunoir\'.</w:t>
      </w:r>
    </w:p>
    <w:bookmarkEnd w:id="26"/>
    <w:bookmarkStart w:id="27" w:name="Xe00beb66cc2e14450998c008cde0797621a0de0"/>
    <w:p>
      <w:pPr>
        <w:pStyle w:val="Heading3"/>
      </w:pPr>
      <w:r>
        <w:t xml:space="preserve">Logistics Data (Transportation &amp; Distribution)</w:t>
      </w:r>
    </w:p>
    <w:p>
      <w:pPr>
        <w:numPr>
          <w:ilvl w:val="0"/>
          <w:numId w:val="1003"/>
        </w:numPr>
        <w:pStyle w:val="Compact"/>
      </w:pPr>
      <w:r>
        <w:rPr>
          <w:bCs/>
          <w:b/>
        </w:rPr>
        <w:t xml:space="preserve">Primary Transport Mode:</w:t>
      </w:r>
      <w:r>
        <w:t xml:space="preserve"> </w:t>
      </w:r>
      <w:r>
        <w:t xml:space="preserve">Select Mode</w:t>
      </w:r>
    </w:p>
    <w:p>
      <w:pPr>
        <w:numPr>
          <w:ilvl w:val="0"/>
          <w:numId w:val="1003"/>
        </w:numPr>
        <w:pStyle w:val="Compact"/>
      </w:pPr>
      <w:r>
        <w:rPr>
          <w:bCs/>
          <w:b/>
        </w:rPr>
        <w:t xml:space="preserve">Transport Distance:</w:t>
      </w:r>
      <w:r>
        <w:t xml:space="preserve"> </w:t>
      </w:r>
      <w:r>
        <w:t xml:space="preserve">wqjxqwzxpy km (average for supply chain to final production country)</w:t>
      </w:r>
    </w:p>
    <w:p>
      <w:pPr>
        <w:numPr>
          <w:ilvl w:val="0"/>
          <w:numId w:val="1003"/>
        </w:numPr>
        <w:pStyle w:val="Compact"/>
      </w:pPr>
      <w:r>
        <w:rPr>
          <w:bCs/>
          <w:b/>
        </w:rPr>
        <w:t xml:space="preserve">Last-Mile Delivery Channel:</w:t>
      </w:r>
      <w:r>
        <w:t xml:space="preserve"> </w:t>
      </w:r>
      <w:r>
        <w:t xml:space="preserve">Delivery Type (e.g., direct-to-consumer, retail distribution)</w:t>
      </w:r>
    </w:p>
    <w:p>
      <w:pPr>
        <w:numPr>
          <w:ilvl w:val="0"/>
          <w:numId w:val="1003"/>
        </w:numPr>
        <w:pStyle w:val="Compact"/>
      </w:pPr>
      <w:r>
        <w:t xml:space="preserve">*Note: Specific emission factors for \'Select Mode\' and \'Delivery Type\' will be drawn from secondary data (e.g., DEFRA, Ecoinvent) based on typical values for the chosen modes.*</w:t>
      </w:r>
    </w:p>
    <w:bookmarkEnd w:id="27"/>
    <w:bookmarkStart w:id="28"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The expected lifespan of \'kkwovunoir\' is oegvkeyyov years.</w:t>
      </w:r>
    </w:p>
    <w:p>
      <w:pPr>
        <w:numPr>
          <w:ilvl w:val="0"/>
          <w:numId w:val="1004"/>
        </w:numPr>
        <w:pStyle w:val="Compact"/>
      </w:pPr>
      <w:r>
        <w:rPr>
          <w:bCs/>
          <w:b/>
        </w:rPr>
        <w:t xml:space="preserve">Energy Consumption in Use:</w:t>
      </w:r>
      <w:r>
        <w:t xml:space="preserve"> </w:t>
      </w:r>
      <w:r>
        <w:t xml:space="preserve">During its lifespan, the product consumes ivzohiynzw kWh of electricity. This will be allocated annually across the lifespan for use phase calculations.</w:t>
      </w:r>
    </w:p>
    <w:bookmarkEnd w:id="28"/>
    <w:bookmarkStart w:id="29"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jquhdfsgpu% of the product\'s mass is recyclable at end-of-life.</w:t>
      </w:r>
    </w:p>
    <w:p>
      <w:pPr>
        <w:numPr>
          <w:ilvl w:val="0"/>
          <w:numId w:val="1005"/>
        </w:numPr>
        <w:pStyle w:val="Compact"/>
      </w:pPr>
      <w:r>
        <w:rPr>
          <w:bCs/>
          <w:b/>
        </w:rPr>
        <w:t xml:space="preserve">Circular/Take-back Programs:</w:t>
      </w:r>
      <w:r>
        <w:t xml:space="preserve"> </w:t>
      </w:r>
      <w:r>
        <w:t xml:space="preserve">The company \'rltlothtol\' implements xzgqexgemf, which contributes to reducing waste and promoting material circularity (e.g., material recovery, product refurbishment).</w:t>
      </w:r>
    </w:p>
    <w:bookmarkEnd w:id="29"/>
    <w:p>
      <w:r>
        <w:pict>
          <v:rect style="width:0;height:1.5pt" o:hralign="center" o:hrstd="t" o:hr="t"/>
        </w:pict>
      </w:r>
    </w:p>
    <w:bookmarkStart w:id="30" w:name="calculating-emissions-co2e"/>
    <w:p>
      <w:pPr>
        <w:pStyle w:val="Heading2"/>
      </w:pPr>
      <w:r>
        <w:t xml:space="preserve">4. Calculating Emissions (CO2e)</w:t>
      </w:r>
    </w:p>
    <w:bookmarkEnd w:id="30"/>
    <w:p>
      <w:pPr>
        <w:pStyle w:val="FirstParagraph"/>
      </w:pPr>
      <w:r>
        <w:t xml:space="preserve">Emissions are calculated by multiplying activity data (e.g., kg of material, kWh of energy, km travelled) by relevant emission factors (e.g., kgCO2e/kg, kgCO2e/kWh, kgCO2e/km). All emissions are reported in kilograms of Carbon Dioxide Equivalent (kgCO2e) to account for the global warming potential of various GHG.</w:t>
      </w:r>
    </w:p>
    <w:bookmarkStart w:id="31" w:name="X6951c7f3b1ce8fcdc22d3d1e4f43aab1ff1f7e4"/>
    <w:p>
      <w:pPr>
        <w:pStyle w:val="Heading3"/>
      </w:pPr>
      <w:r>
        <w:t xml:space="preserve">Emission Factor Assumptions (for non-BOM items and where specific factors not provided):</w:t>
      </w:r>
    </w:p>
    <w:p>
      <w:pPr>
        <w:numPr>
          <w:ilvl w:val="0"/>
          <w:numId w:val="1006"/>
        </w:numPr>
        <w:pStyle w:val="Compact"/>
      </w:pPr>
      <w:r>
        <w:rPr>
          <w:bCs/>
          <w:b/>
        </w:rPr>
        <w:t xml:space="preserve">Electricity Grid Mix (China, for non-renewable portion):</w:t>
      </w:r>
      <w:r>
        <w:t xml:space="preserve"> </w:t>
      </w:r>
      <w:r>
        <w:t xml:space="preserve">Approximately 0.6 kgCO2e/kWh (average based on recent IEA data for China\'s grid mix).</w:t>
      </w:r>
    </w:p>
    <w:p>
      <w:pPr>
        <w:numPr>
          <w:ilvl w:val="0"/>
          <w:numId w:val="1006"/>
        </w:numPr>
        <w:pStyle w:val="Compact"/>
      </w:pPr>
      <w:r>
        <w:rPr>
          <w:bCs/>
          <w:b/>
        </w:rPr>
        <w:t xml:space="preserve">Road Freight (e.g., for \'Select Mode\' if truck):</w:t>
      </w:r>
      <w:r>
        <w:t xml:space="preserve"> </w:t>
      </w:r>
      <w:r>
        <w:t xml:space="preserve">Approx. 0.1 kgCO2e/tkm.</w:t>
      </w:r>
    </w:p>
    <w:p>
      <w:pPr>
        <w:numPr>
          <w:ilvl w:val="0"/>
          <w:numId w:val="1006"/>
        </w:numPr>
        <w:pStyle w:val="Compact"/>
      </w:pPr>
      <w:r>
        <w:rPr>
          <w:bCs/>
          <w:b/>
        </w:rPr>
        <w:t xml:space="preserve">Ocean Freight (if applicable for material sourcing):</w:t>
      </w:r>
      <w:r>
        <w:t xml:space="preserve"> </w:t>
      </w:r>
      <w:r>
        <w:t xml:space="preserve">Approx. 0.01 kgCO2e/tkm.</w:t>
      </w:r>
    </w:p>
    <w:p>
      <w:pPr>
        <w:numPr>
          <w:ilvl w:val="0"/>
          <w:numId w:val="1006"/>
        </w:numPr>
        <w:pStyle w:val="Compact"/>
      </w:pPr>
      <w:r>
        <w:rPr>
          <w:bCs/>
          <w:b/>
        </w:rPr>
        <w:t xml:space="preserve">Last-Mile Delivery (e.g., light commercial vehicle):</w:t>
      </w:r>
      <w:r>
        <w:t xml:space="preserve"> </w:t>
      </w:r>
      <w:r>
        <w:t xml:space="preserve">Approx. 0.2 kgCO2e/km.</w:t>
      </w:r>
    </w:p>
    <w:p>
      <w:pPr>
        <w:numPr>
          <w:ilvl w:val="0"/>
          <w:numId w:val="1006"/>
        </w:numPr>
        <w:pStyle w:val="Compact"/>
      </w:pPr>
      <w:r>
        <w:rPr>
          <w:bCs/>
          <w:b/>
        </w:rPr>
        <w:t xml:space="preserve">Waste Treatment (Landfill, average):</w:t>
      </w:r>
      <w:r>
        <w:t xml:space="preserve"> </w:t>
      </w:r>
      <w:r>
        <w:t xml:space="preserve">Approx. 0.2 kgCO2e/kg for non-recyclable components.</w:t>
      </w:r>
    </w:p>
    <w:p>
      <w:pPr>
        <w:numPr>
          <w:ilvl w:val="0"/>
          <w:numId w:val="1006"/>
        </w:numPr>
        <w:pStyle w:val="Compact"/>
      </w:pPr>
      <w:r>
        <w:rPr>
          <w:bCs/>
          <w:b/>
        </w:rPr>
        <w:t xml:space="preserve">Recycling Credit (e.g., for plastics/metals):</w:t>
      </w:r>
      <w:r>
        <w:t xml:space="preserve"> </w:t>
      </w:r>
      <w:r>
        <w:t xml:space="preserve">Varies, average assumed at -1.0 kgCO2e/kg for recovered materials (avoided virgin production).</w:t>
      </w:r>
    </w:p>
    <w:bookmarkEnd w:id="31"/>
    <w:bookmarkStart w:id="38" w:name="X952ff6088c0a1b3485be89d6c095e8dc22fec43"/>
    <w:p>
      <w:pPr>
        <w:pStyle w:val="Heading3"/>
      </w:pPr>
      <w:r>
        <w:t xml:space="preserve">Categorization of Emissions (GHG Protocol Scopes)</w:t>
      </w:r>
    </w:p>
    <w:bookmarkStart w:id="32" w:name="scope-1-emissions-direct-emissions"/>
    <w:p>
      <w:pPr>
        <w:pStyle w:val="Heading4"/>
      </w:pPr>
      <w:r>
        <w:t xml:space="preserve">Scope 1 Emissions (Direct Emissions)</w:t>
      </w:r>
    </w:p>
    <w:p>
      <w:pPr>
        <w:pStyle w:val="FirstParagraph"/>
      </w:pPr>
      <w:r>
        <w:t xml:space="preserve">These are direct GHG emissions from sources owned or controlled by rltlothtol, such as fuel combustion in company vehicles or on-site manufacturing processes not powered by purchased electricity. Given the \'factory_gate\' boundary focus for direct operations, these would primarily involve on-site machinery and direct fuel use for production processes that are not electricity-dependent.</w:t>
      </w:r>
    </w:p>
    <w:p>
      <w:pPr>
        <w:pStyle w:val="BodyText"/>
      </w:pPr>
      <w:r>
        <w:rPr>
          <w:bCs/>
          <w:b/>
        </w:rPr>
        <w:t xml:space="preserve">Calculations:</w:t>
      </w:r>
      <w:r>
        <w:t xml:space="preserve"> </w:t>
      </w:r>
      <w:r>
        <w:t xml:space="preserve">Specific data on direct fuel combustion was not provided, therefore, a placeholder value is used. For a more accurate assessment, primary data on natural gas, diesel, or other fuel consumption on-site would be required.</w:t>
      </w:r>
    </w:p>
    <w:p>
      <w:pPr>
        <w:pStyle w:val="BodyText"/>
      </w:pPr>
      <w:r>
        <w:rPr>
          <w:iCs/>
          <w:i/>
        </w:rPr>
        <w:t xml:space="preserve">Estimated Scope 1 Emissions: 0.1 kgCO2e/unit (Placeholder)</w:t>
      </w:r>
    </w:p>
    <w:bookmarkEnd w:id="32"/>
    <w:bookmarkStart w:id="33" w:name="X2d8d685b47aa894fb1e052b68fb751e5e9e47f0"/>
    <w:p>
      <w:pPr>
        <w:pStyle w:val="Heading4"/>
      </w:pPr>
      <w:r>
        <w:t xml:space="preserve">Scope 2 Emissions (Energy Indirect Emissions)</w:t>
      </w:r>
    </w:p>
    <w:p>
      <w:pPr>
        <w:pStyle w:val="FirstParagraph"/>
      </w:pPr>
      <w:r>
        <w:t xml:space="preserve">These are GHG emissions from the generation of purchased electricity, steam, heating, or cooling consumed by rltlothtol. The calculation incorporates the provided renewable energy usage.</w:t>
      </w:r>
    </w:p>
    <w:p>
      <w:pPr>
        <w:pStyle w:val="BodyText"/>
      </w:pPr>
      <w:r>
        <w:rPr>
          <w:bCs/>
          <w:b/>
        </w:rPr>
        <w:t xml:space="preserve">Calculations:</w:t>
      </w:r>
    </w:p>
    <w:p>
      <w:pPr>
        <w:numPr>
          <w:ilvl w:val="0"/>
          <w:numId w:val="1007"/>
        </w:numPr>
        <w:pStyle w:val="Compact"/>
      </w:pPr>
      <w:r>
        <w:t xml:space="preserve">Total Energy Intensity: qvdfehzysu kWh/unit</w:t>
      </w:r>
    </w:p>
    <w:p>
      <w:pPr>
        <w:numPr>
          <w:ilvl w:val="0"/>
          <w:numId w:val="1007"/>
        </w:numPr>
        <w:pStyle w:val="Compact"/>
      </w:pPr>
      <w:r>
        <w:t xml:space="preserve">Non-renewable energy portion: (100 - dqvrrpnrzf)%</w:t>
      </w:r>
    </w:p>
    <w:p>
      <w:pPr>
        <w:numPr>
          <w:ilvl w:val="0"/>
          <w:numId w:val="1007"/>
        </w:numPr>
        <w:pStyle w:val="Compact"/>
      </w:pPr>
      <w:r>
        <w:t xml:space="preserve">Non-renewable electricity consumption: qvdfehzysu kWh/unit * (1 - dqvrrpnrzf/100)</w:t>
      </w:r>
    </w:p>
    <w:p>
      <w:pPr>
        <w:numPr>
          <w:ilvl w:val="0"/>
          <w:numId w:val="1007"/>
        </w:numPr>
        <w:pStyle w:val="Compact"/>
      </w:pPr>
      <w:r>
        <w:t xml:space="preserve">Scope 2 Emissions = Non-renewable electricity consumption * Grid Emission Factor</w:t>
      </w:r>
    </w:p>
    <w:p>
      <w:pPr>
        <w:numPr>
          <w:ilvl w:val="0"/>
          <w:numId w:val="1007"/>
        </w:numPr>
        <w:pStyle w:val="Compact"/>
      </w:pPr>
      <w:r>
        <w:rPr>
          <w:iCs/>
          <w:i/>
        </w:rPr>
        <w:t xml:space="preserve">Example: If qvdfehzysu = 10 kWh/unit and dqvrrpnrzf = 50%, then 10 * (1-0.5) * 0.6 kgCO2e/kWh = 3.0 kgCO2e/unit.</w:t>
      </w:r>
    </w:p>
    <w:p>
      <w:pPr>
        <w:pStyle w:val="FirstParagraph"/>
      </w:pPr>
      <w:r>
        <w:rPr>
          <w:iCs/>
          <w:i/>
        </w:rPr>
        <w:t xml:space="preserve">Calculated Scope 2 Emissions: [qvdfehzysu * (1 - dqvrrpnrzf/100) * 0.6] kgCO2e/unit</w:t>
      </w:r>
    </w:p>
    <w:bookmarkEnd w:id="33"/>
    <w:bookmarkStart w:id="36" w:name="Xa4ae47cf428664338de6136b1752768d982738f"/>
    <w:p>
      <w:pPr>
        <w:pStyle w:val="Heading4"/>
      </w:pPr>
      <w:r>
        <w:t xml:space="preserve">Scope 3 Emissions (Other Indirect Emissions - Value Chain)</w:t>
      </w:r>
    </w:p>
    <w:p>
      <w:pPr>
        <w:pStyle w:val="FirstParagraph"/>
      </w:pPr>
      <w:r>
        <w:t xml:space="preserve">Scope 3 emissions are all other indirect emissions that occur in a company’s value chain. Achieving at least 95% coverage for Scope 3 reporting is a key requirement for 2026. This analysis includes upstream and downstream activities.</w:t>
      </w:r>
    </w:p>
    <w:bookmarkStart w:id="34" w:name="upstream-emissions"/>
    <w:p>
      <w:pPr>
        <w:pStyle w:val="Heading5"/>
      </w:pPr>
      <w:r>
        <w:t xml:space="preserve">Upstream Emissions:</w:t>
      </w:r>
    </w:p>
    <w:p>
      <w:pPr>
        <w:numPr>
          <w:ilvl w:val="0"/>
          <w:numId w:val="1008"/>
        </w:numPr>
        <w:pStyle w:val="Compact"/>
      </w:pPr>
      <w:r>
        <w:rPr>
          <w:bCs/>
          <w:b/>
        </w:rPr>
        <w:t xml:space="preserve">Materials (from BOM):</w:t>
      </w:r>
      <w:r>
        <w:t xml:space="preserve"> </w:t>
      </w:r>
      <w:r>
        <w:t xml:space="preserve">The \'Total Carbon\' value for each item in the jpjkqezo BOM is summed directly. This includes emissions from raw material extraction, processing, and manufacturing of components.</w:t>
      </w:r>
      <w:r>
        <w:br/>
      </w:r>
      <w:r>
        <w:rPr>
          <w:iCs/>
          <w:i/>
        </w:rPr>
        <w:t xml:space="preserve">Total Material Emissions = Sum of \'Total Carbon\' from BOM = (1.76 + 0.45 + 4.80 + 1.80 + 0.18 + 0.07) kgCO2e = 9.06 kgCO2e/unit</w:t>
      </w:r>
    </w:p>
    <w:p>
      <w:pPr>
        <w:numPr>
          <w:ilvl w:val="0"/>
          <w:numId w:val="1008"/>
        </w:numPr>
        <w:pStyle w:val="Compact"/>
      </w:pPr>
      <w:r>
        <w:rPr>
          <w:bCs/>
          <w:b/>
        </w:rPr>
        <w:t xml:space="preserve">Transport (Upstream Logistics):</w:t>
      </w:r>
      <w:r>
        <w:t xml:space="preserve"> </w:t>
      </w:r>
      <w:r>
        <w:t xml:space="preserve">Emissions from transporting raw materials and components to the final production facility (China) from Europe-focused supply chain.</w:t>
      </w:r>
      <w:r>
        <w:br/>
      </w:r>
      <w:r>
        <w:rPr>
          <w:iCs/>
          <w:i/>
        </w:rPr>
        <w:t xml:space="preserve">Estimated Upstream Transport Emissions = (Avg. Material Mass * wqjxqwzxpy km * Transport Mode EF) kgCO2e/unit.</w:t>
      </w:r>
      <w:r>
        <w:t xml:space="preserve"> </w:t>
      </w:r>
      <w:r>
        <w:t xml:space="preserve">Assuming avg. 0.5 kg materials, road freight for Europe: 0.5 kg * wqjxqwzxpy km * 0.1 kgCO2e/tkm (0.0001 kgCO2e/kgkm) = [0.00005 * wqjxqwzxpy] kgCO2e/unit.</w:t>
      </w:r>
    </w:p>
    <w:bookmarkEnd w:id="34"/>
    <w:bookmarkStart w:id="35" w:name="downstream-emissions"/>
    <w:p>
      <w:pPr>
        <w:pStyle w:val="Heading5"/>
      </w:pPr>
      <w:r>
        <w:t xml:space="preserve">Downstream Emissions:</w:t>
      </w:r>
    </w:p>
    <w:p>
      <w:pPr>
        <w:numPr>
          <w:ilvl w:val="0"/>
          <w:numId w:val="1009"/>
        </w:numPr>
        <w:pStyle w:val="Compact"/>
      </w:pPr>
      <w:r>
        <w:rPr>
          <w:bCs/>
          <w:b/>
        </w:rPr>
        <w:t xml:space="preserve">Transport (Distribution to Customer):</w:t>
      </w:r>
      <w:r>
        <w:t xml:space="preserve"> </w:t>
      </w:r>
      <w:r>
        <w:t xml:space="preserve">Emissions from distributing the finished product from the factory to the end-user via \'Delivery Type\' over \'wqjxqwzxpy\' distance.</w:t>
      </w:r>
      <w:r>
        <w:br/>
      </w:r>
      <w:r>
        <w:rPr>
          <w:iCs/>
          <w:i/>
        </w:rPr>
        <w:t xml:space="preserve">Estimated Downstream Transport Emissions = (Product Mass * wqjxqwzxpy km * Last-Mile Delivery EF) kgCO2e/unit.</w:t>
      </w:r>
      <w:r>
        <w:t xml:space="preserve"> </w:t>
      </w:r>
      <w:r>
        <w:t xml:space="preserve">Assuming product mass of 1.5 kg, and if \'Delivery Type\' is light commercial vehicle: 1.5 kg * wqjxqwzxpy km * 0.2 kgCO2e/km = [0.2 * wqjxqwzxpy] kgCO2e/unit. (Note: unit conversion needed for accurate km based factor). For consistency with previous example, let\'s assume a simplified average factor of `0.05 kgCO2e/km/unit` for `Delivery Type`. Then, `0.05 * wqjxqwzxpy` kgCO2e/unit.</w:t>
      </w:r>
    </w:p>
    <w:p>
      <w:pPr>
        <w:numPr>
          <w:ilvl w:val="0"/>
          <w:numId w:val="1009"/>
        </w:numPr>
        <w:pStyle w:val="Compact"/>
      </w:pPr>
      <w:r>
        <w:rPr>
          <w:bCs/>
          <w:b/>
        </w:rPr>
        <w:t xml:space="preserve">Use Phase Emissions:</w:t>
      </w:r>
      <w:r>
        <w:t xml:space="preserve"> </w:t>
      </w:r>
      <w:r>
        <w:t xml:space="preserve">Energy consumption during the product\'s lifespan.</w:t>
      </w:r>
      <w:r>
        <w:br/>
      </w:r>
      <w:r>
        <w:rPr>
          <w:iCs/>
          <w:i/>
        </w:rPr>
        <w:t xml:space="preserve">Use Phase Emissions = ivzohiynzw kWh * Grid Emission Factor (average over lifespan, could be mix of global grids)</w:t>
      </w:r>
      <w:r>
        <w:t xml:space="preserve">. Assuming global average grid mix: ivzohiynzw kWh * 0.4 kgCO2e/kWh.</w:t>
      </w:r>
    </w:p>
    <w:p>
      <w:pPr>
        <w:numPr>
          <w:ilvl w:val="0"/>
          <w:numId w:val="1009"/>
        </w:numPr>
        <w:pStyle w:val="Compact"/>
      </w:pPr>
      <w:r>
        <w:rPr>
          <w:bCs/>
          <w:b/>
        </w:rPr>
        <w:t xml:space="preserve">End-of-Life (EoL) Emissions/Credits:</w:t>
      </w:r>
      <w:r>
        <w:t xml:space="preserve"> </w:t>
      </w:r>
      <w:r>
        <w:t xml:space="preserve">Emissions from waste treatment and potential credits from recycling and circular programs.</w:t>
      </w:r>
      <w:r>
        <w:br/>
      </w:r>
      <w:r>
        <w:rPr>
          <w:iCs/>
          <w:i/>
        </w:rPr>
        <w:t xml:space="preserve">Recyclable Portion Credit = Product Mass * jquhdfsgpu% * (-1.0 kgCO2e/kg for avoided virgin material)</w:t>
      </w:r>
      <w:r>
        <w:br/>
      </w:r>
      <w:r>
        <w:rPr>
          <w:iCs/>
          <w:i/>
        </w:rPr>
        <w:t xml:space="preserve">Non-Recyclable Portion Emissions = Product Mass * (1 - jquhdfsgpu%) * (0.2 kgCO2e/kg for landfill)</w:t>
      </w:r>
      <w:r>
        <w:br/>
      </w:r>
      <w:r>
        <w:rPr>
          <w:iCs/>
          <w:i/>
        </w:rPr>
        <w:t xml:space="preserve">Circular/Take-back Programs: xzgqexgemf implies potential for further emission reductions, but without specific quantification, it\'s noted as a positive impact.</w:t>
      </w:r>
    </w:p>
    <w:bookmarkEnd w:id="35"/>
    <w:bookmarkEnd w:id="36"/>
    <w:bookmarkStart w:id="37" w:name="X7fc55497565ff523e22dc118b8185658f7b9ce1"/>
    <w:p>
      <w:pPr>
        <w:pStyle w:val="Heading4"/>
      </w:pPr>
      <w:r>
        <w:t xml:space="preserve">Application of 2026 Land Sector and Removals (LSR) Standard</w:t>
      </w:r>
    </w:p>
    <w:p>
      <w:pPr>
        <w:pStyle w:val="FirstParagraph"/>
      </w:pPr>
      <w:r>
        <w:t xml:space="preserve">The 2026 LSR Standard is applied to account for any emissions or removals associated with land use change related to the sourcing of raw materials (e.g., deforestation for wood products, agricultural land for bio-based materials). While no specific land-use data was provided for \'kkwovunoir\'s\' components, the principle dictates that if any material origins involve direct or indirect land-use change, these impacts (e.g., CO2 from forest conversion) would be quantified and included, as would any carbon removals from sustainable land management or carbon sequestration initiatives within the value chain.</w:t>
      </w:r>
    </w:p>
    <w:p>
      <w:pPr>
        <w:pStyle w:val="BodyText"/>
      </w:pPr>
      <w:r>
        <w:rPr>
          <w:bCs/>
          <w:b/>
        </w:rPr>
        <w:t xml:space="preserve">Total Product Carbon Footprint (Illustrative Calculation based on assumed values):</w:t>
      </w:r>
    </w:p>
    <w:p>
      <w:pPr>
        <w:pStyle w:val="BodyText"/>
      </w:pPr>
      <w:r>
        <w:t xml:space="preserve">Let\'s assume the following for an illustrative total:</w:t>
      </w:r>
    </w:p>
    <w:p>
      <w:pPr>
        <w:numPr>
          <w:ilvl w:val="0"/>
          <w:numId w:val="1010"/>
        </w:numPr>
        <w:pStyle w:val="Compact"/>
      </w:pPr>
      <w:r>
        <w:t xml:space="preserve">Scope 1 (Placeholder): 0.1 kgCO2e</w:t>
      </w:r>
    </w:p>
    <w:p>
      <w:pPr>
        <w:numPr>
          <w:ilvl w:val="0"/>
          <w:numId w:val="1010"/>
        </w:numPr>
        <w:pStyle w:val="Compact"/>
      </w:pPr>
      <w:r>
        <w:t xml:space="preserve">Scope 2 (Calculated with qvdfehzysu=10, dqvrrpnrzf=50): 3.0 kgCO2e</w:t>
      </w:r>
    </w:p>
    <w:p>
      <w:pPr>
        <w:numPr>
          <w:ilvl w:val="0"/>
          <w:numId w:val="1010"/>
        </w:numPr>
        <w:pStyle w:val="Compact"/>
      </w:pPr>
      <w:r>
        <w:t xml:space="preserve">Scope 3 Materials: 9.06 kgCO2e</w:t>
      </w:r>
    </w:p>
    <w:p>
      <w:pPr>
        <w:numPr>
          <w:ilvl w:val="0"/>
          <w:numId w:val="1010"/>
        </w:numPr>
        <w:pStyle w:val="Compact"/>
      </w:pPr>
      <w:r>
        <w:t xml:space="preserve">Scope 3 Upstream Transport (Illustrative wqjxqwzxpy=5000km): 0.00005 * 5000 = 0.25 kgCO2e</w:t>
      </w:r>
    </w:p>
    <w:p>
      <w:pPr>
        <w:numPr>
          <w:ilvl w:val="0"/>
          <w:numId w:val="1010"/>
        </w:numPr>
        <w:pStyle w:val="Compact"/>
      </w:pPr>
      <w:r>
        <w:t xml:space="preserve">Scope 3 Downstream Transport (Illustrative wqjxqwzxpy=100km, factor 0.05): 0.05 * 100 = 5.0 kgCO2e</w:t>
      </w:r>
    </w:p>
    <w:p>
      <w:pPr>
        <w:numPr>
          <w:ilvl w:val="0"/>
          <w:numId w:val="1010"/>
        </w:numPr>
        <w:pStyle w:val="Compact"/>
      </w:pPr>
      <w:r>
        <w:t xml:space="preserve">Scope 3 Use Phase (Illustrative ivzohiynzw=20, grid 0.4): 20 * 0.4 = 8.0 kgCO2e</w:t>
      </w:r>
    </w:p>
    <w:p>
      <w:pPr>
        <w:numPr>
          <w:ilvl w:val="0"/>
          <w:numId w:val="1010"/>
        </w:numPr>
        <w:pStyle w:val="Compact"/>
      </w:pPr>
      <w:r>
        <w:t xml:space="preserve">Scope 3 EoL (Illustrative Product Mass 1.5kg, jquhdfsgpu=70%):</w:t>
      </w:r>
    </w:p>
    <w:p>
      <w:pPr>
        <w:numPr>
          <w:ilvl w:val="1"/>
          <w:numId w:val="1011"/>
        </w:numPr>
        <w:pStyle w:val="Compact"/>
      </w:pPr>
      <w:r>
        <w:t xml:space="preserve">Recycling Credit: 1.5 * 0.70 * (-1.0) = -1.05 kgCO2e</w:t>
      </w:r>
    </w:p>
    <w:p>
      <w:pPr>
        <w:numPr>
          <w:ilvl w:val="1"/>
          <w:numId w:val="1011"/>
        </w:numPr>
        <w:pStyle w:val="Compact"/>
      </w:pPr>
      <w:r>
        <w:t xml:space="preserve">Non-Recyclable Emissions: 1.5 * 0.30 * 0.2 = 0.09 kgCO2e</w:t>
      </w:r>
    </w:p>
    <w:p>
      <w:pPr>
        <w:pStyle w:val="FirstParagraph"/>
      </w:pPr>
      <w:r>
        <w:rPr>
          <w:iCs/>
          <w:i/>
        </w:rPr>
        <w:t xml:space="preserve">Illustrative Total PCF = 0.1 + 3.0 + 9.06 + 0.25 + 5.0 + 8.0 - 1.05 + 0.09 = 24.45 kgCO2e/unit</w:t>
      </w:r>
    </w:p>
    <w:bookmarkEnd w:id="37"/>
    <w:bookmarkEnd w:id="38"/>
    <w:p>
      <w:r>
        <w:pict>
          <v:rect style="width:0;height:1.5pt" o:hralign="center" o:hrstd="t" o:hr="t"/>
        </w:pict>
      </w:r>
    </w:p>
    <w:bookmarkStart w:id="39" w:name="review-report"/>
    <w:p>
      <w:pPr>
        <w:pStyle w:val="Heading2"/>
      </w:pPr>
      <w:r>
        <w:t xml:space="preserve">5. Review &amp; Report</w:t>
      </w:r>
    </w:p>
    <w:bookmarkEnd w:id="39"/>
    <w:bookmarkStart w:id="40"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Emissions (kgCO2e/unit)</w:t>
            </w:r>
          </w:p>
        </w:tc>
        <w:tc>
          <w:tcPr/>
          <w:p>
            <w:pPr>
              <w:pStyle w:val="Compact"/>
              <w:jc w:val="left"/>
            </w:pPr>
            <w:r>
              <w:t xml:space="preserve">Contribution (%)</w:t>
            </w:r>
          </w:p>
        </w:tc>
      </w:tr>
      <w:tr>
        <w:tc>
          <w:tcPr/>
          <w:p>
            <w:pPr>
              <w:pStyle w:val="Compact"/>
              <w:jc w:val="left"/>
            </w:pPr>
            <w:r>
              <w:t xml:space="preserve">Scope 1 (Direct)</w:t>
            </w:r>
          </w:p>
        </w:tc>
        <w:tc>
          <w:tcPr/>
          <w:p>
            <w:pPr>
              <w:pStyle w:val="Compact"/>
              <w:jc w:val="left"/>
            </w:pPr>
            <w:r>
              <w:t xml:space="preserve">0.1 (Placeholder)</w:t>
            </w:r>
          </w:p>
        </w:tc>
        <w:tc>
          <w:tcPr/>
          <w:p>
            <w:pPr>
              <w:pStyle w:val="Compact"/>
              <w:jc w:val="left"/>
            </w:pPr>
            <w:r>
              <w:t xml:space="preserve">~0.4%</w:t>
            </w:r>
          </w:p>
        </w:tc>
      </w:tr>
      <w:tr>
        <w:tc>
          <w:tcPr/>
          <w:p>
            <w:pPr>
              <w:pStyle w:val="Compact"/>
              <w:jc w:val="left"/>
            </w:pPr>
            <w:r>
              <w:t xml:space="preserve">Scope 2 (Purchased Energy)</w:t>
            </w:r>
          </w:p>
        </w:tc>
        <w:tc>
          <w:tcPr/>
          <w:p>
            <w:pPr>
              <w:pStyle w:val="Compact"/>
              <w:jc w:val="left"/>
            </w:pPr>
            <w:r>
              <w:t xml:space="preserve">[qvdfehzysu * (1 - dqvrrpnrzf/100) * 0.6]</w:t>
            </w:r>
          </w:p>
        </w:tc>
        <w:tc>
          <w:tcPr/>
          <w:p>
            <w:pPr>
              <w:pStyle w:val="Compact"/>
              <w:jc w:val="left"/>
            </w:pPr>
            <w:r>
              <w:t xml:space="preserve">(Variable)</w:t>
            </w:r>
          </w:p>
        </w:tc>
      </w:tr>
      <w:tr>
        <w:tc>
          <w:tcPr/>
          <w:p>
            <w:pPr>
              <w:pStyle w:val="Compact"/>
              <w:jc w:val="left"/>
            </w:pPr>
            <w:r>
              <w:t xml:space="preserve">Scope 3 (Value Chain) - Upstream</w:t>
            </w:r>
          </w:p>
        </w:tc>
        <w:tc>
          <w:tcPr/>
          <w:p>
            <w:pPr>
              <w:pStyle w:val="Compact"/>
              <w:jc w:val="left"/>
            </w:pPr>
            <w:r>
              <w:t xml:space="preserve">9.06 (Materials) + [0.00005 * wqjxqwzxpy] (Upstream Transport)</w:t>
            </w:r>
          </w:p>
        </w:tc>
        <w:tc>
          <w:tcPr/>
          <w:p>
            <w:pPr>
              <w:pStyle w:val="Compact"/>
              <w:jc w:val="left"/>
            </w:pPr>
            <w:r>
              <w:t xml:space="preserve">(Variable)</w:t>
            </w:r>
          </w:p>
        </w:tc>
      </w:tr>
      <w:tr>
        <w:tc>
          <w:tcPr/>
          <w:p>
            <w:pPr>
              <w:pStyle w:val="Compact"/>
              <w:jc w:val="left"/>
            </w:pPr>
            <w:r>
              <w:t xml:space="preserve">Scope 3 (Value Chain) - Downstream</w:t>
            </w:r>
          </w:p>
        </w:tc>
        <w:tc>
          <w:tcPr/>
          <w:p>
            <w:pPr>
              <w:pStyle w:val="Compact"/>
              <w:jc w:val="left"/>
            </w:pPr>
            <w:r>
              <w:t xml:space="preserve">[0.05 * wqjxqwzxpy] (Downstream Transport) + [ivzohiynzw * 0.4] (Use Phase) + (EoL Net Impact)</w:t>
            </w:r>
          </w:p>
        </w:tc>
        <w:tc>
          <w:tcPr/>
          <w:p>
            <w:pPr>
              <w:pStyle w:val="Compact"/>
              <w:jc w:val="left"/>
            </w:pPr>
            <w:r>
              <w:t xml:space="preserve">(Variable)</w:t>
            </w:r>
          </w:p>
        </w:tc>
      </w:tr>
      <w:tr>
        <w:tc>
          <w:tcPr/>
          <w:p>
            <w:pPr>
              <w:pStyle w:val="Compact"/>
              <w:jc w:val="left"/>
            </w:pPr>
            <w:r>
              <w:rPr>
                <w:bCs/>
                <w:b/>
              </w:rPr>
              <w:t xml:space="preserve">Total PCF</w:t>
            </w:r>
          </w:p>
        </w:tc>
        <w:tc>
          <w:tcPr/>
          <w:p>
            <w:pPr>
              <w:pStyle w:val="Compact"/>
              <w:jc w:val="left"/>
            </w:pPr>
            <w:r>
              <w:rPr>
                <w:bCs/>
                <w:b/>
              </w:rPr>
              <w:t xml:space="preserve">[Sum of all calculated values]</w:t>
            </w:r>
          </w:p>
        </w:tc>
        <w:tc>
          <w:tcPr/>
          <w:p>
            <w:pPr>
              <w:pStyle w:val="Compact"/>
              <w:jc w:val="left"/>
            </w:pPr>
            <w:r>
              <w:rPr>
                <w:bCs/>
                <w:b/>
              </w:rPr>
              <w:t xml:space="preserve">100%</w:t>
            </w:r>
          </w:p>
        </w:tc>
      </w:tr>
    </w:tbl>
    <w:bookmarkEnd w:id="40"/>
    <w:bookmarkStart w:id="41" w:name="hotspots-and-reliability"/>
    <w:p>
      <w:pPr>
        <w:pStyle w:val="Heading3"/>
      </w:pPr>
      <w:r>
        <w:t xml:space="preserve">Hotspots and Reliability</w:t>
      </w:r>
    </w:p>
    <w:p>
      <w:pPr>
        <w:pStyle w:val="FirstParagraph"/>
      </w:pPr>
      <w:r>
        <w:t xml:space="preserve">Based on the illustrative calculation, material production (Scope 3 Upstream) and the Use Phase (Scope 3 Downstream) appear to be significant emission hotspots. Transportation also contributes notably depending on the distance and mode chosen.</w:t>
      </w:r>
    </w:p>
    <w:p>
      <w:pPr>
        <w:numPr>
          <w:ilvl w:val="0"/>
          <w:numId w:val="1012"/>
        </w:numPr>
        <w:pStyle w:val="Compact"/>
      </w:pPr>
      <w:r>
        <w:rPr>
          <w:bCs/>
          <w:b/>
        </w:rPr>
        <w:t xml:space="preserve">Materials:</w:t>
      </w:r>
      <w:r>
        <w:t xml:space="preserve"> </w:t>
      </w:r>
      <w:r>
        <w:t xml:space="preserve">The BOM (jpjkqezo) provided specific "Total Carbon" values, ensuring high accuracy for this segment.</w:t>
      </w:r>
    </w:p>
    <w:p>
      <w:pPr>
        <w:numPr>
          <w:ilvl w:val="0"/>
          <w:numId w:val="1012"/>
        </w:numPr>
        <w:pStyle w:val="Compact"/>
      </w:pPr>
      <w:r>
        <w:rPr>
          <w:bCs/>
          <w:b/>
        </w:rPr>
        <w:t xml:space="preserve">Energy (Manufacturing):</w:t>
      </w:r>
      <w:r>
        <w:t xml:space="preserve"> </w:t>
      </w:r>
      <w:r>
        <w:t xml:space="preserve">The accuracy of Scope 2 calculations relies heavily on the provided \'dqvrrpnrzf\' (renewable energy usage) and \'qvdfehzysu\' (energy intensity). The grid emission factor is an industry average.</w:t>
      </w:r>
    </w:p>
    <w:p>
      <w:pPr>
        <w:numPr>
          <w:ilvl w:val="0"/>
          <w:numId w:val="1012"/>
        </w:numPr>
        <w:pStyle w:val="Compact"/>
      </w:pPr>
      <w:r>
        <w:rPr>
          <w:bCs/>
          <w:b/>
        </w:rPr>
        <w:t xml:space="preserve">Logistics:</w:t>
      </w:r>
      <w:r>
        <w:t xml:space="preserve"> </w:t>
      </w:r>
      <w:r>
        <w:t xml:space="preserve">Reliability for transport emissions depends on the accuracy of \'Select Mode\', \'wqjxqwzxpy\', and \'Delivery Type\', combined with representative emission factors.</w:t>
      </w:r>
    </w:p>
    <w:p>
      <w:pPr>
        <w:numPr>
          <w:ilvl w:val="0"/>
          <w:numId w:val="1012"/>
        </w:numPr>
        <w:pStyle w:val="Compact"/>
      </w:pPr>
      <w:r>
        <w:rPr>
          <w:bCs/>
          <w:b/>
        </w:rPr>
        <w:t xml:space="preserve">Use Phase:</w:t>
      </w:r>
      <w:r>
        <w:t xml:space="preserve"> </w:t>
      </w:r>
      <w:r>
        <w:t xml:space="preserve">\'oegvkeyyov\' (lifespan) and \'ivzohiynzw\' (energy in use) are critical inputs. The emission factor for electricity consumed in the use phase is a global average and may vary based on actual geographic usage.</w:t>
      </w:r>
    </w:p>
    <w:p>
      <w:pPr>
        <w:numPr>
          <w:ilvl w:val="0"/>
          <w:numId w:val="1012"/>
        </w:numPr>
        <w:pStyle w:val="Compact"/>
      </w:pPr>
      <w:r>
        <w:rPr>
          <w:bCs/>
          <w:b/>
        </w:rPr>
        <w:t xml:space="preserve">End-of-Life:</w:t>
      </w:r>
      <w:r>
        <w:t xml:space="preserve"> </w:t>
      </w:r>
      <w:r>
        <w:t xml:space="preserve">\'jquhdfsgpu\' (recyclability) and \'xzgqexgemf\' (circular programs) are key. The credits for recycling assume displacement of virgin material production, which can vary.</w:t>
      </w:r>
    </w:p>
    <w:p>
      <w:pPr>
        <w:numPr>
          <w:ilvl w:val="0"/>
          <w:numId w:val="1012"/>
        </w:numPr>
        <w:pStyle w:val="Compact"/>
      </w:pPr>
      <w:r>
        <w:rPr>
          <w:bCs/>
          <w:b/>
        </w:rPr>
        <w:t xml:space="preserve">Scope 3 Coverage:</w:t>
      </w:r>
      <w:r>
        <w:t xml:space="preserve"> </w:t>
      </w:r>
      <w:r>
        <w:t xml:space="preserve">By integrating detailed BOM data, energy, transport, use phase, and EoL, this report strives for the 95% Scope 3 coverage required by 2026 GHG Protocol standards. Primary data for all aspects is crucial for increasing overall reliability.</w:t>
      </w:r>
    </w:p>
    <w:bookmarkEnd w:id="41"/>
    <w:bookmarkStart w:id="42" w:name="recommendations"/>
    <w:p>
      <w:pPr>
        <w:pStyle w:val="Heading3"/>
      </w:pPr>
      <w:r>
        <w:t xml:space="preserve">Recommendations</w:t>
      </w:r>
    </w:p>
    <w:p>
      <w:pPr>
        <w:numPr>
          <w:ilvl w:val="0"/>
          <w:numId w:val="1013"/>
        </w:numPr>
        <w:pStyle w:val="Compact"/>
      </w:pPr>
      <w:r>
        <w:rPr>
          <w:bCs/>
          <w:b/>
        </w:rPr>
        <w:t xml:space="preserve">Material Optimization:</w:t>
      </w:r>
      <w:r>
        <w:t xml:space="preserve"> </w:t>
      </w:r>
      <w:r>
        <w:t xml:space="preserve">Explore opportunities to substitute high-impact materials identified in the BOM with lower-carbon alternatives or materials with higher recycled content.</w:t>
      </w:r>
    </w:p>
    <w:p>
      <w:pPr>
        <w:numPr>
          <w:ilvl w:val="0"/>
          <w:numId w:val="1013"/>
        </w:numPr>
        <w:pStyle w:val="Compact"/>
      </w:pPr>
      <w:r>
        <w:rPr>
          <w:bCs/>
          <w:b/>
        </w:rPr>
        <w:t xml:space="preserve">Energy Efficiency:</w:t>
      </w:r>
      <w:r>
        <w:t xml:space="preserve"> </w:t>
      </w:r>
      <w:r>
        <w:t xml:space="preserve">Continue efforts to improve energy efficiency in manufacturing and increase the proportion of renewable energy procurement beyond dqvrrpnrzf%.</w:t>
      </w:r>
    </w:p>
    <w:p>
      <w:pPr>
        <w:numPr>
          <w:ilvl w:val="0"/>
          <w:numId w:val="1013"/>
        </w:numPr>
        <w:pStyle w:val="Compact"/>
      </w:pPr>
      <w:r>
        <w:rPr>
          <w:bCs/>
          <w:b/>
        </w:rPr>
        <w:t xml:space="preserve">Logistics Streamlining:</w:t>
      </w:r>
      <w:r>
        <w:t xml:space="preserve"> </w:t>
      </w:r>
      <w:r>
        <w:t xml:space="preserve">Optimize transportation routes, consider lower-emission transport modes where feasible, and explore local sourcing to reduce transport distances.</w:t>
      </w:r>
    </w:p>
    <w:p>
      <w:pPr>
        <w:numPr>
          <w:ilvl w:val="0"/>
          <w:numId w:val="1013"/>
        </w:numPr>
        <w:pStyle w:val="Compact"/>
      </w:pPr>
      <w:r>
        <w:rPr>
          <w:bCs/>
          <w:b/>
        </w:rPr>
        <w:t xml:space="preserve">Design for Longevity &amp; Circularity:</w:t>
      </w:r>
      <w:r>
        <w:t xml:space="preserve"> </w:t>
      </w:r>
      <w:r>
        <w:t xml:space="preserve">Leverage the specified product lifespan (oegvkeyyov) and recyclability (jquhdfsgpu%) through design choices that facilitate repair, refurbishment, and efficient material recovery at End-of-Life, supported by xzgqexgemf circular programs.</w:t>
      </w:r>
    </w:p>
    <w:p>
      <w:pPr>
        <w:numPr>
          <w:ilvl w:val="0"/>
          <w:numId w:val="1013"/>
        </w:numPr>
        <w:pStyle w:val="Compact"/>
      </w:pPr>
      <w:r>
        <w:rPr>
          <w:bCs/>
          <w:b/>
        </w:rPr>
        <w:t xml:space="preserve">Data Enhancement:</w:t>
      </w:r>
      <w:r>
        <w:t xml:space="preserve"> </w:t>
      </w:r>
      <w:r>
        <w:t xml:space="preserve">Seek to collect more specific primary data for all Scope 1, 2, and 3 categories to further enhance the accuracy and reliability of future PCF analyses.</w:t>
      </w:r>
    </w:p>
    <w:bookmarkEnd w:id="42"/>
    <w:p>
      <w:r>
        <w:pict>
          <v:rect style="width:0;height:1.5pt" o:hralign="center" o:hrstd="t" o:hr="t"/>
        </w:pict>
      </w:r>
    </w:p>
    <w:p>
      <w:pPr>
        <w:pStyle w:val="FirstParagraph"/>
      </w:pPr>
      <w:r>
        <w:t xml:space="preserve">Confidential - Internal Use Only</w:t>
      </w:r>
    </w:p>
    <w:p>
      <w:pPr>
        <w:pStyle w:val="BodyText"/>
      </w:pPr>
      <w:r>
        <w:t xml:space="preserve">© 2026 rltlothtol.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kkwovunoir</dc:title>
  <dc:creator/>
  <dc:description>Detailed Product Carbon Footprint (PCF) analysis report for kkwovunoir, conducted by Senior Sustainability Consultant zhrygommjp for rltlothtol, adhering to GHG Protocol standards including 2026 LSR update and 95% Scope 3 coverage.</dc:description>
  <dc:language>en</dc:language>
  <cp:keywords/>
  <dcterms:created xsi:type="dcterms:W3CDTF">2026-07-15T09:31:55Z</dcterms:created>
  <dcterms:modified xsi:type="dcterms:W3CDTF">2026-07-15T09:31:55Z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