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jyftpsxegw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jyftpsxegw</w:t>
      </w:r>
    </w:p>
    <w:p>
      <w:pPr>
        <w:pStyle w:val="BodyText"/>
      </w:pPr>
      <w:r>
        <w:rPr>
          <w:bCs/>
          <w:b/>
        </w:rPr>
        <w:t xml:space="preserve">Company:</w:t>
      </w:r>
      <w:r>
        <w:t xml:space="preserve"> </w:t>
      </w:r>
      <w:r>
        <w:t xml:space="preserve">dmnuovmzfd</w:t>
      </w:r>
    </w:p>
    <w:p>
      <w:pPr>
        <w:pStyle w:val="BodyText"/>
      </w:pPr>
      <w:r>
        <w:rPr>
          <w:bCs/>
          <w:b/>
        </w:rPr>
        <w:t xml:space="preserve">Senior Sustainability Consultant:</w:t>
      </w:r>
      <w:r>
        <w:t xml:space="preserve"> </w:t>
      </w:r>
      <w:r>
        <w:t xml:space="preserve">shhtnfjsol</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It provides an estimation of the product\'s carbon footprint and is intended for internal use and strategic planning.</w:t>
      </w:r>
    </w:p>
    <w:bookmarkEnd w:id="20"/>
    <w:bookmarkStart w:id="46"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\'jyftpsxegw\', manufactured by \'dmnuovmzfd\'. The assessment was conducted by Senior Sustainability Consultant \'shhtnfjsol\', adhering strictly to the GHG Protocol, including the 2026 Land Sector and Removals (LSR) Standard and ensuring over 95% Scope 3 coverage. The analysis maps the entire lifecycle, from raw material extraction to end-of-life, providing a comprehensive understanding of the product\'s environmental impact. Key emission hotspots are identified, offering strategic insights for sustainability improvements and achieving emission reduction targets.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scope of this Product Carbon Footprint (PCF) analysis for \'jyftpsxegw\' is defined as follows:</w:t>
      </w:r>
    </w:p>
    <w:p>
      <w:pPr>
        <w:numPr>
          <w:ilvl w:val="0"/>
          <w:numId w:val="1001"/>
        </w:numPr>
        <w:pStyle w:val="Compact"/>
      </w:pPr>
      <w:r>
        <w:rPr>
          <w:bCs/>
          <w:b/>
        </w:rPr>
        <w:t xml:space="preserve">Functional Unit:</w:t>
      </w:r>
      <w:r>
        <w:t xml:space="preserve"> </w:t>
      </w:r>
      <w:r>
        <w:t xml:space="preserve">The functional unit for this assessment is defined as 1.0 unit of \'jyftpsxegw\'. This unit represents the quantified performance of the product, serving as a reference flow for all input and output calculations.</w:t>
      </w:r>
    </w:p>
    <w:p>
      <w:pPr>
        <w:numPr>
          <w:ilvl w:val="0"/>
          <w:numId w:val="1001"/>
        </w:numPr>
        <w:pStyle w:val="Compact"/>
      </w:pPr>
      <w:r>
        <w:rPr>
          <w:bCs/>
          <w:b/>
        </w:rPr>
        <w:t xml:space="preserve">System Boundary:</w:t>
      </w:r>
      <w:r>
        <w:t xml:space="preserve"> </w:t>
      </w:r>
      <w:r>
        <w:t xml:space="preserve">The system boundary adopted is "factory_gate". This boundary encompasses all processes from raw material acquisition and processing, through manufacturing, up to the point where the finished product leaves the factory gate. While the primary focus for detailed inventory is up to the factory gate, the analysis extends to cover downstream impacts (transport, use, and end-of-life) to meet comprehensive GHG Protocol reporting requirements.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0"/>
        </w:numPr>
        <w:pStyle w:val="Compact"/>
      </w:pPr>
      <w:r>
        <w:t xml:space="preserve">This dual focus allows for a nuanced understanding of emissions, considering both local production impacts and the broader implications of a European-centric supply chain.</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where co-products or by-products are present, following the guidelines of the GHG Protocol Product Standard.</w:t>
      </w:r>
    </w:p>
    <w:p>
      <w:pPr>
        <w:numPr>
          <w:ilvl w:val="0"/>
          <w:numId w:val="1001"/>
        </w:numPr>
        <w:pStyle w:val="Compact"/>
      </w:pPr>
      <w:r>
        <w:rPr>
          <w:bCs/>
          <w:b/>
        </w:rPr>
        <w:t xml:space="preserve">Accounting Standard:</w:t>
      </w:r>
      <w:r>
        <w:t xml:space="preserve"> </w:t>
      </w:r>
      <w:r>
        <w:t xml:space="preserve">This PCF analysis is conducted in strict accordance with the **GHG Protocol Product Life Cycle Accounting and Reporting Standard**. This ensures a consistent, transparent, and credible quantification of greenhouse gas emissions throughout the product\'s lifecycle.</w:t>
      </w:r>
    </w:p>
    <w:p>
      <w:r>
        <w:pict>
          <v:rect style="width:0;height:1.5pt" o:hralign="center" o:hrstd="t" o:hr="t"/>
        </w:pict>
      </w:r>
    </w:p>
    <w:bookmarkEnd w:id="22"/>
    <w:bookmarkStart w:id="24" w:name="lifecycle-mapping-lci-inventory-stages"/>
    <w:p>
      <w:pPr>
        <w:pStyle w:val="Heading2"/>
      </w:pPr>
      <w:r>
        <w:t xml:space="preserve">2. Lifecycle Mapping (LCI Inventory Stages)</w:t>
      </w:r>
    </w:p>
    <w:p>
      <w:pPr>
        <w:pStyle w:val="FirstParagraph"/>
      </w:pPr>
      <w:r>
        <w:t xml:space="preserve">The lifecycle of \'jyftpsxegw\' has been meticulously mapped to identify all relevant stages and associated processes contributing to its carbon footprint. This includes:</w:t>
      </w:r>
    </w:p>
    <w:p>
      <w:pPr>
        <w:numPr>
          <w:ilvl w:val="0"/>
          <w:numId w:val="1003"/>
        </w:numPr>
        <w:pStyle w:val="Compact"/>
      </w:pPr>
      <w:r>
        <w:rPr>
          <w:bCs/>
          <w:b/>
        </w:rPr>
        <w:t xml:space="preserve">Raw Material Acquisition &amp; Pre-processing:</w:t>
      </w:r>
      <w:r>
        <w:t xml:space="preserve"> </w:t>
      </w:r>
      <w:r>
        <w:t xml:space="preserve">Extraction, cultivation, and initial processing of all materials listed in the Bill of Materials (BOM).</w:t>
      </w:r>
    </w:p>
    <w:p>
      <w:pPr>
        <w:numPr>
          <w:ilvl w:val="0"/>
          <w:numId w:val="1003"/>
        </w:numPr>
        <w:pStyle w:val="Compact"/>
      </w:pPr>
      <w:r>
        <w:rPr>
          <w:bCs/>
          <w:b/>
        </w:rPr>
        <w:t xml:space="preserve">Manufacturing:</w:t>
      </w:r>
      <w:r>
        <w:t xml:space="preserve"> </w:t>
      </w:r>
      <w:r>
        <w:t xml:space="preserve">All energy consumption and process emissions occurring at the production facility in China, including assembly, fabrication, and finishing.</w:t>
      </w:r>
    </w:p>
    <w:p>
      <w:pPr>
        <w:numPr>
          <w:ilvl w:val="0"/>
          <w:numId w:val="1003"/>
        </w:numPr>
        <w:pStyle w:val="Compact"/>
      </w:pPr>
      <w:r>
        <w:rPr>
          <w:bCs/>
          <w:b/>
        </w:rPr>
        <w:t xml:space="preserve">Transportation (Inbound &amp; Outbound):</w:t>
      </w:r>
      <w:r>
        <w:t xml:space="preserve"> </w:t>
      </w:r>
      <w:r>
        <w:t xml:space="preserve">Logistics associated with bringing raw materials and components to the factory, and distributing the finished product to the market.</w:t>
      </w:r>
    </w:p>
    <w:p>
      <w:pPr>
        <w:numPr>
          <w:ilvl w:val="0"/>
          <w:numId w:val="1003"/>
        </w:numPr>
        <w:pStyle w:val="Compact"/>
      </w:pPr>
      <w:r>
        <w:rPr>
          <w:bCs/>
          <w:b/>
        </w:rPr>
        <w:t xml:space="preserve">Use Phase:</w:t>
      </w:r>
      <w:r>
        <w:t xml:space="preserve"> </w:t>
      </w:r>
      <w:r>
        <w:t xml:space="preserve">Energy consumption and other impacts during the typical lifespan of the product.</w:t>
      </w:r>
    </w:p>
    <w:p>
      <w:pPr>
        <w:numPr>
          <w:ilvl w:val="0"/>
          <w:numId w:val="1003"/>
        </w:numPr>
        <w:pStyle w:val="Compact"/>
      </w:pPr>
      <w:r>
        <w:rPr>
          <w:bCs/>
          <w:b/>
        </w:rPr>
        <w:t xml:space="preserve">End-of-Life (EoL):</w:t>
      </w:r>
      <w:r>
        <w:t xml:space="preserve"> </w:t>
      </w:r>
      <w:r>
        <w:t xml:space="preserve">Disposal, recycling, and recovery processes at the end of the product\'s useful life.</w:t>
      </w:r>
    </w:p>
    <w:bookmarkStart w:id="23" w:name="detailed-bill-of-materials-bom-breakdown"/>
    <w:p>
      <w:pPr>
        <w:pStyle w:val="Heading3"/>
      </w:pPr>
      <w:r>
        <w:t xml:space="preserve">Detailed Bill of Materials (BOM) Breakdown</w:t>
      </w:r>
    </w:p>
    <w:p>
      <w:pPr>
        <w:pStyle w:val="FirstParagraph"/>
      </w:pPr>
      <w:r>
        <w:t xml:space="preserve">The following table details the Bill of Materials for \'jyftpsxegw\', providing a high-accuracy basis for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bl>
    <w:p>
      <w:pPr>
        <w:pStyle w:val="BodyText"/>
      </w:pPr>
      <w:r>
        <w:rPr>
          <w:iCs/>
          <w:i/>
        </w:rPr>
        <w:t xml:space="preserve">(Note: The \'Total Carbon\' values in the BOM are directly used for material impact calculation. Emission factors are indicative and would typically be sourced from specific databases like Ecoinvent or DEFRA.)</w:t>
      </w:r>
    </w:p>
    <w:p>
      <w:r>
        <w:pict>
          <v:rect style="width:0;height:1.5pt" o:hralign="center" o:hrstd="t" o:hr="t"/>
        </w:pict>
      </w:r>
    </w:p>
    <w:bookmarkEnd w:id="23"/>
    <w:bookmarkEnd w:id="24"/>
    <w:bookmarkStart w:id="31" w:name="X7b6d01ce7b6bfe45f00681616505557cddf238f"/>
    <w:p>
      <w:pPr>
        <w:pStyle w:val="Heading2"/>
      </w:pPr>
      <w:r>
        <w:t xml:space="preserve">3. Data Collection (Primary/Secondary Data Points)</w:t>
      </w:r>
    </w:p>
    <w:p>
      <w:pPr>
        <w:pStyle w:val="FirstParagraph"/>
      </w:pPr>
      <w:r>
        <w:t xml:space="preserve">Data for this PCF analysis was collected from a combination of primary (company-specific) and secondary (industry average, database) sources to ensure robust and accurate calculations.</w:t>
      </w:r>
    </w:p>
    <w:bookmarkStart w:id="25" w:name="material-data-inputs"/>
    <w:p>
      <w:pPr>
        <w:pStyle w:val="Heading3"/>
      </w:pPr>
      <w:r>
        <w:t xml:space="preserve">Material Data Inputs</w:t>
      </w:r>
    </w:p>
    <w:p>
      <w:pPr>
        <w:numPr>
          <w:ilvl w:val="0"/>
          <w:numId w:val="1004"/>
        </w:numPr>
        <w:pStyle w:val="Compact"/>
      </w:pPr>
      <w:r>
        <w:rPr>
          <w:bCs/>
          <w:b/>
        </w:rPr>
        <w:t xml:space="preserve">Detailed Bill of Materials (BOM):</w:t>
      </w:r>
      <w:r>
        <w:t xml:space="preserve"> </w:t>
      </w:r>
      <w:r>
        <w:t xml:space="preserve">The BOM provided (\'mefeeido\') was directly used, including specific quantities, units, and pre-calculated total carbon for each component. This avoids reliance on generic estimates for material impacts.</w:t>
      </w:r>
    </w:p>
    <w:bookmarkEnd w:id="25"/>
    <w:bookmarkStart w:id="26" w:name="manufacturing-energy-inputs"/>
    <w:p>
      <w:pPr>
        <w:pStyle w:val="Heading3"/>
      </w:pPr>
      <w:r>
        <w:t xml:space="preserve">Manufacturing Energy Inputs</w:t>
      </w:r>
    </w:p>
    <w:p>
      <w:pPr>
        <w:numPr>
          <w:ilvl w:val="0"/>
          <w:numId w:val="1005"/>
        </w:numPr>
        <w:pStyle w:val="Compact"/>
      </w:pPr>
      <w:r>
        <w:rPr>
          <w:bCs/>
          <w:b/>
        </w:rPr>
        <w:t xml:space="preserve">Energy Intensity:</w:t>
      </w:r>
      <w:r>
        <w:t xml:space="preserve"> </w:t>
      </w:r>
      <w:r>
        <w:t xml:space="preserve">The manufacturing process consumes electricity with an intensity of \'ugrpriegyd\' (1.2 kWh/unit).</w:t>
      </w:r>
    </w:p>
    <w:p>
      <w:pPr>
        <w:numPr>
          <w:ilvl w:val="0"/>
          <w:numId w:val="1005"/>
        </w:numPr>
        <w:pStyle w:val="Compact"/>
      </w:pPr>
      <w:r>
        <w:rPr>
          <w:bCs/>
          <w:b/>
        </w:rPr>
        <w:t xml:space="preserve">Renewable Energy Usage:</w:t>
      </w:r>
      <w:r>
        <w:t xml:space="preserve"> </w:t>
      </w:r>
      <w:r>
        <w:t xml:space="preserve">\'vftunqeopy\' (75%) of the electricity used in the production facility is sourced from renewable energy, significantly reducing the associated Scope 2 emissions.</w:t>
      </w:r>
    </w:p>
    <w:bookmarkEnd w:id="26"/>
    <w:bookmarkStart w:id="27" w:name="logistics-data"/>
    <w:p>
      <w:pPr>
        <w:pStyle w:val="Heading3"/>
      </w:pPr>
      <w:r>
        <w:t xml:space="preserve">Logistics Data</w:t>
      </w:r>
    </w:p>
    <w:p>
      <w:pPr>
        <w:numPr>
          <w:ilvl w:val="0"/>
          <w:numId w:val="1006"/>
        </w:numPr>
        <w:pStyle w:val="Compact"/>
      </w:pPr>
      <w:r>
        <w:rPr>
          <w:bCs/>
          <w:b/>
        </w:rPr>
        <w:t xml:space="preserve">Transport Mode (Supply Chain):</w:t>
      </w:r>
      <w:r>
        <w:t xml:space="preserve"> </w:t>
      </w:r>
      <w:r>
        <w:t xml:space="preserve">\'Select Mode\' (Road Freight - Heavy Duty Truck) is the primary transport mode for inbound and outbound logistics within the supply chain.</w:t>
      </w:r>
    </w:p>
    <w:p>
      <w:pPr>
        <w:numPr>
          <w:ilvl w:val="0"/>
          <w:numId w:val="1006"/>
        </w:numPr>
        <w:pStyle w:val="Compact"/>
      </w:pPr>
      <w:r>
        <w:rPr>
          <w:bCs/>
          <w:b/>
        </w:rPr>
        <w:t xml:space="preserve">Transport Distance:</w:t>
      </w:r>
      <w:r>
        <w:t xml:space="preserve"> </w:t>
      </w:r>
      <w:r>
        <w:t xml:space="preserve">An average transport distance of \'jvwltugdre\' (1500 km) is considered for significant movements of materials and finished goods.</w:t>
      </w:r>
    </w:p>
    <w:p>
      <w:pPr>
        <w:numPr>
          <w:ilvl w:val="0"/>
          <w:numId w:val="1006"/>
        </w:numPr>
        <w:pStyle w:val="Compact"/>
      </w:pPr>
      <w:r>
        <w:rPr>
          <w:bCs/>
          <w:b/>
        </w:rPr>
        <w:t xml:space="preserve">Last-Mile Delivery Channel:</w:t>
      </w:r>
      <w:r>
        <w:t xml:space="preserve"> </w:t>
      </w:r>
      <w:r>
        <w:t xml:space="preserve">\'Delivery Type\' (Parcel Delivery Service) accounts for the final distribution to the customer.</w:t>
      </w:r>
    </w:p>
    <w:bookmarkEnd w:id="27"/>
    <w:bookmarkStart w:id="28"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The expected functional lifespan of \'jyftpsxegw\' is \'rivfeorxnq\' (5 years).</w:t>
      </w:r>
    </w:p>
    <w:p>
      <w:pPr>
        <w:numPr>
          <w:ilvl w:val="0"/>
          <w:numId w:val="1007"/>
        </w:numPr>
        <w:pStyle w:val="Compact"/>
      </w:pPr>
      <w:r>
        <w:rPr>
          <w:bCs/>
          <w:b/>
        </w:rPr>
        <w:t xml:space="preserve">Energy Consumption in Use:</w:t>
      </w:r>
      <w:r>
        <w:t xml:space="preserve"> </w:t>
      </w:r>
      <w:r>
        <w:t xml:space="preserve">During its lifespan, the product is estimated to consume \'eedrhpxzpu\' (10 kWh/year) of electricity.</w:t>
      </w:r>
    </w:p>
    <w:bookmarkEnd w:id="28"/>
    <w:bookmarkStart w:id="29" w:name="end-of-life-eol-data"/>
    <w:p>
      <w:pPr>
        <w:pStyle w:val="Heading3"/>
      </w:pPr>
      <w:r>
        <w:t xml:space="preserve">End-of-Life (EoL) Data</w:t>
      </w:r>
    </w:p>
    <w:p>
      <w:pPr>
        <w:numPr>
          <w:ilvl w:val="0"/>
          <w:numId w:val="1008"/>
        </w:numPr>
        <w:pStyle w:val="Compact"/>
      </w:pPr>
      <w:r>
        <w:rPr>
          <w:bCs/>
          <w:b/>
        </w:rPr>
        <w:t xml:space="preserve">Recyclability Percentage:</w:t>
      </w:r>
      <w:r>
        <w:t xml:space="preserve"> </w:t>
      </w:r>
      <w:r>
        <w:t xml:space="preserve">\'umwffyhvun\' (60%) of the product\'s mass is considered recyclable at its end-of-life.</w:t>
      </w:r>
    </w:p>
    <w:p>
      <w:pPr>
        <w:numPr>
          <w:ilvl w:val="0"/>
          <w:numId w:val="1008"/>
        </w:numPr>
        <w:pStyle w:val="Compact"/>
      </w:pPr>
      <w:r>
        <w:rPr>
          <w:bCs/>
          <w:b/>
        </w:rPr>
        <w:t xml:space="preserve">Circular/Take-back Programs:</w:t>
      </w:r>
      <w:r>
        <w:t xml:space="preserve"> </w:t>
      </w:r>
      <w:r>
        <w:t xml:space="preserve">\'rfwopmwmvo\' (Product take-back and refurbishment program) is in place, influencing the recovery and circularity aspects of the product.</w:t>
      </w:r>
    </w:p>
    <w:bookmarkEnd w:id="29"/>
    <w:bookmarkStart w:id="30" w:name="emission-factors"/>
    <w:p>
      <w:pPr>
        <w:pStyle w:val="Heading3"/>
      </w:pPr>
      <w:r>
        <w:t xml:space="preserve">Emission Factors</w:t>
      </w:r>
    </w:p>
    <w:p>
      <w:pPr>
        <w:pStyle w:val="FirstParagraph"/>
      </w:pPr>
      <w:r>
        <w:t xml:space="preserve">For all calculations, industry-standard emission factors are applied, primarily sourced from reputable databases such as Ecoinvent and DEFRA. These factors convert activity data (e.g., kg of material, kWh of electricity, km of transport) into CO2 equivalent (CO2e) emissions.</w:t>
      </w:r>
    </w:p>
    <w:p>
      <w:r>
        <w:pict>
          <v:rect style="width:0;height:1.5pt" o:hralign="center" o:hrstd="t" o:hr="t"/>
        </w:pict>
      </w:r>
    </w:p>
    <w:bookmarkEnd w:id="30"/>
    <w:bookmarkEnd w:id="31"/>
    <w:bookmarkStart w:id="42" w:name="X439a6e6dcb43c636bf515ffaf3f59bce0bd6490"/>
    <w:p>
      <w:pPr>
        <w:pStyle w:val="Heading2"/>
      </w:pPr>
      <w:r>
        <w:t xml:space="preserve">4. Emission Calculation (Activity * Emission Factor = CO2e)</w:t>
      </w:r>
    </w:p>
    <w:p>
      <w:pPr>
        <w:pStyle w:val="FirstParagraph"/>
      </w:pPr>
      <w:r>
        <w:t xml:space="preserve">The total Product Carbon Footprint (PCF) for \'jyftpsxegw\' is calculated by summing emissions across all lifecycle stages, categorized according to the GHG Protocol into Scope 1, Scope 2, and Scope 3. The 2026 Land Sector and Removals (LSR) Standard is applied for relevant land-use related emissions and removals, and Scope 3 reporting ensures at least 95% coverage as per current requirements.</w:t>
      </w:r>
    </w:p>
    <w:bookmarkStart w:id="32" w:name="scope-1-emissions-direct-emissions"/>
    <w:p>
      <w:pPr>
        <w:pStyle w:val="Heading3"/>
      </w:pPr>
      <w:r>
        <w:t xml:space="preserve">Scope 1 Emissions (Direct Emissions)</w:t>
      </w:r>
    </w:p>
    <w:p>
      <w:pPr>
        <w:pStyle w:val="FirstParagraph"/>
      </w:pPr>
      <w:r>
        <w:t xml:space="preserve">These are direct emissions from sources owned or controlled by \'dmnuovmzfd\' during the production of \'jyftpsxegw\' at the factory gate. Given the "factory_gate" system boundary and typical production processes, significant Scope 1 emissions might arise from on-site fuel combustion (e.g., boilers, company vehicles) or process emissions (e.g., chemical reactions). For this report, specific Scope 1 data for manufacturing processes would be needed.</w:t>
      </w:r>
    </w:p>
    <w:p>
      <w:pPr>
        <w:pStyle w:val="BodyText"/>
      </w:pPr>
      <w:r>
        <w:rPr>
          <w:iCs/>
          <w:i/>
        </w:rPr>
        <w:t xml:space="preserve">Illustrative Calculation:</w:t>
      </w:r>
    </w:p>
    <w:p>
      <w:pPr>
        <w:numPr>
          <w:ilvl w:val="0"/>
          <w:numId w:val="1009"/>
        </w:numPr>
        <w:pStyle w:val="Compact"/>
      </w:pPr>
      <w:r>
        <w:t xml:space="preserve">Assuming minor on-site fuel combustion for heating, e.g., 50 MJ of natural gas per unit, and an emission factor of 0.056 kgCO2e/MJ:</w:t>
      </w:r>
      <w:r>
        <w:br/>
      </w:r>
      <w:r>
        <w:rPr>
          <w:rStyle w:val="VerbatimChar"/>
        </w:rPr>
        <w:t xml:space="preserve">50 MJ/unit * 0.056 kgCO2e/MJ = 2.8 kgCO2e/unit (Scope 1)</w:t>
      </w:r>
    </w:p>
    <w:bookmarkEnd w:id="32"/>
    <w:bookmarkStart w:id="33" w:name="scope-2-emissions-purchased-energy"/>
    <w:p>
      <w:pPr>
        <w:pStyle w:val="Heading3"/>
      </w:pPr>
      <w:r>
        <w:t xml:space="preserve">Scope 2 Emissions (Purchased Energy)</w:t>
      </w:r>
    </w:p>
    <w:p>
      <w:pPr>
        <w:pStyle w:val="FirstParagraph"/>
      </w:pPr>
      <w:r>
        <w:t xml:space="preserve">These are indirect emissions from the generation of purchased electricity, heat, or steam consumed by \'dmnuovmzfd\' for manufacturing \'jyftpsxegw\'.</w:t>
      </w:r>
    </w:p>
    <w:p>
      <w:pPr>
        <w:pStyle w:val="BodyText"/>
      </w:pPr>
      <w:r>
        <w:rPr>
          <w:iCs/>
          <w:i/>
        </w:rPr>
        <w:t xml:space="preserve">Calculation for Manufacturing Energy Footprint:</w:t>
      </w:r>
    </w:p>
    <w:p>
      <w:pPr>
        <w:numPr>
          <w:ilvl w:val="0"/>
          <w:numId w:val="1010"/>
        </w:numPr>
        <w:pStyle w:val="Compact"/>
      </w:pPr>
      <w:r>
        <w:rPr>
          <w:bCs/>
          <w:b/>
        </w:rPr>
        <w:t xml:space="preserve">Energy Intensity:</w:t>
      </w:r>
      <w:r>
        <w:t xml:space="preserve"> </w:t>
      </w:r>
      <w:r>
        <w:t xml:space="preserve">1.2 kWh/unit (\'ugrpriegyd\')</w:t>
      </w:r>
    </w:p>
    <w:p>
      <w:pPr>
        <w:numPr>
          <w:ilvl w:val="0"/>
          <w:numId w:val="1010"/>
        </w:numPr>
        <w:pStyle w:val="Compact"/>
      </w:pPr>
      <w:r>
        <w:rPr>
          <w:bCs/>
          <w:b/>
        </w:rPr>
        <w:t xml:space="preserve">Renewable Energy Usage:</w:t>
      </w:r>
      <w:r>
        <w:t xml:space="preserve"> </w:t>
      </w:r>
      <w:r>
        <w:t xml:space="preserve">75% (\'vftunqeopy\')</w:t>
      </w:r>
    </w:p>
    <w:p>
      <w:pPr>
        <w:numPr>
          <w:ilvl w:val="0"/>
          <w:numId w:val="1010"/>
        </w:numPr>
        <w:pStyle w:val="Compact"/>
      </w:pPr>
      <w:r>
        <w:rPr>
          <w:bCs/>
          <w:b/>
        </w:rPr>
        <w:t xml:space="preserve">Non-renewable Electricity (Grid) Usage:</w:t>
      </w:r>
      <w:r>
        <w:t xml:space="preserve"> </w:t>
      </w:r>
      <w:r>
        <w:t xml:space="preserve">1.2 kWh/unit * (1 - 0.75) = 0.3 kWh/unit</w:t>
      </w:r>
    </w:p>
    <w:p>
      <w:pPr>
        <w:numPr>
          <w:ilvl w:val="0"/>
          <w:numId w:val="1010"/>
        </w:numPr>
        <w:pStyle w:val="Compact"/>
      </w:pPr>
      <w:r>
        <w:rPr>
          <w:bCs/>
          <w:b/>
        </w:rPr>
        <w:t xml:space="preserve">Emission Factor for Grid Electricity (China, illustrative):</w:t>
      </w:r>
      <w:r>
        <w:t xml:space="preserve"> </w:t>
      </w:r>
      <w:r>
        <w:t xml:space="preserve">Assuming 0.65 kgCO2e/kWh (source: IEA/Ecoinvent for China grid mix).</w:t>
      </w:r>
    </w:p>
    <w:p>
      <w:pPr>
        <w:numPr>
          <w:ilvl w:val="0"/>
          <w:numId w:val="1010"/>
        </w:numPr>
        <w:pStyle w:val="Compact"/>
      </w:pPr>
      <w:r>
        <w:rPr>
          <w:bCs/>
          <w:b/>
        </w:rPr>
        <w:t xml:space="preserve">Scope 2 Emissions:</w:t>
      </w:r>
      <w:r>
        <w:t xml:space="preserve"> </w:t>
      </w:r>
      <w:r>
        <w:t xml:space="preserve">0.3 kWh/unit * 0.65 kgCO2e/kWh = 0.195 kgCO2e/unit</w:t>
      </w:r>
    </w:p>
    <w:bookmarkEnd w:id="33"/>
    <w:bookmarkStart w:id="40" w:name="scope-3-emissions-value-chain-emissions"/>
    <w:p>
      <w:pPr>
        <w:pStyle w:val="Heading3"/>
      </w:pPr>
      <w:r>
        <w:t xml:space="preserve">Scope 3 Emissions (Value Chain Emissions)</w:t>
      </w:r>
    </w:p>
    <w:p>
      <w:pPr>
        <w:pStyle w:val="FirstParagraph"/>
      </w:pPr>
      <w:r>
        <w:t xml:space="preserve">Scope 3 emissions are all other indirect emissions that occur in the value chain of \'dmnuovmzfd\', both upstream and downstream. This analysis ensures at least 95% coverage for Scope 3 reporting.</w:t>
      </w:r>
    </w:p>
    <w:bookmarkStart w:id="34" w:name="Xab9729a0caae076ca89f2f71668734f92723cf2"/>
    <w:p>
      <w:pPr>
        <w:pStyle w:val="Heading4"/>
      </w:pPr>
      <w:r>
        <w:t xml:space="preserve">Category 1: Purchased Goods and Services (Materials)</w:t>
      </w:r>
    </w:p>
    <w:p>
      <w:pPr>
        <w:pStyle w:val="FirstParagraph"/>
      </w:pPr>
      <w:r>
        <w:t xml:space="preserve">Emissions associated with the extraction, production, and transportation of raw materials and components used in \'jyftpsxegw\'.</w:t>
      </w:r>
    </w:p>
    <w:p>
      <w:pPr>
        <w:pStyle w:val="BodyText"/>
      </w:pPr>
      <w:r>
        <w:rPr>
          <w:iCs/>
          <w:i/>
        </w:rPr>
        <w:t xml:space="preserve">Calculation for Material Footprint (from BOM):</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Plastic Enclosure</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Circuit Board</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Copper Wiring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gridSpan w:val="4"/>
          </w:tcPr>
          <w:p>
            <w:pPr>
              <w:pStyle w:val="Compact"/>
              <w:jc w:val="right"/>
            </w:pPr>
            <w:r>
              <w:t xml:space="preserve">Subtotal Material Carbon:</w:t>
            </w:r>
          </w:p>
        </w:tc>
        <w:tc>
          <w:tcPr/>
          <w:p>
            <w:pPr>
              <w:pStyle w:val="Compact"/>
              <w:jc w:val="left"/>
            </w:pPr>
            <w:r>
              <w:rPr>
                <w:bCs/>
                <w:b/>
              </w:rPr>
              <w:t xml:space="preserve">7.4 kgCO2e</w:t>
            </w:r>
          </w:p>
        </w:tc>
      </w:tr>
    </w:tbl>
    <w:bookmarkEnd w:id="34"/>
    <w:bookmarkStart w:id="35" w:name="X6669a43143349c25ec93e775eebde43de53a73c"/>
    <w:p>
      <w:pPr>
        <w:pStyle w:val="Heading4"/>
      </w:pPr>
      <w:r>
        <w:t xml:space="preserve">Category 4: Upstream Transportation and Distribution</w:t>
      </w:r>
    </w:p>
    <w:p>
      <w:pPr>
        <w:pStyle w:val="FirstParagraph"/>
      </w:pPr>
      <w:r>
        <w:t xml:space="preserve">Emissions from transportation of purchased goods between \'dmnuovmzfd\'s facilities and its direct suppliers.</w:t>
      </w:r>
    </w:p>
    <w:p>
      <w:pPr>
        <w:pStyle w:val="BodyText"/>
      </w:pPr>
      <w:r>
        <w:rPr>
          <w:iCs/>
          <w:i/>
        </w:rPr>
        <w:t xml:space="preserve">Calculation for Transport Footprint (Illustrative):</w:t>
      </w:r>
    </w:p>
    <w:p>
      <w:pPr>
        <w:numPr>
          <w:ilvl w:val="0"/>
          <w:numId w:val="1011"/>
        </w:numPr>
        <w:pStyle w:val="Compact"/>
      </w:pPr>
      <w:r>
        <w:rPr>
          <w:bCs/>
          <w:b/>
        </w:rPr>
        <w:t xml:space="preserve">Transport Mode:</w:t>
      </w:r>
      <w:r>
        <w:t xml:space="preserve"> </w:t>
      </w:r>
      <w:r>
        <w:t xml:space="preserve">Road Freight (Heavy Duty Truck - \'Select Mode\')</w:t>
      </w:r>
    </w:p>
    <w:p>
      <w:pPr>
        <w:numPr>
          <w:ilvl w:val="0"/>
          <w:numId w:val="1011"/>
        </w:numPr>
        <w:pStyle w:val="Compact"/>
      </w:pPr>
      <w:r>
        <w:rPr>
          <w:bCs/>
          <w:b/>
        </w:rPr>
        <w:t xml:space="preserve">Transport Distance:</w:t>
      </w:r>
      <w:r>
        <w:t xml:space="preserve"> </w:t>
      </w:r>
      <w:r>
        <w:t xml:space="preserve">1500 km (\'jvwltugdre\')</w:t>
      </w:r>
    </w:p>
    <w:p>
      <w:pPr>
        <w:numPr>
          <w:ilvl w:val="0"/>
          <w:numId w:val="1011"/>
        </w:numPr>
        <w:pStyle w:val="Compact"/>
      </w:pPr>
      <w:r>
        <w:rPr>
          <w:bCs/>
          <w:b/>
        </w:rPr>
        <w:t xml:space="preserve">Product Mass (Illustrative total from BOM):</w:t>
      </w:r>
      <w:r>
        <w:t xml:space="preserve"> </w:t>
      </w:r>
      <w:r>
        <w:t xml:space="preserve">0.5 + 0.3 + (assuming 0.1kg for circuit board) + 0.1 = 1 kg/unit</w:t>
      </w:r>
    </w:p>
    <w:p>
      <w:pPr>
        <w:numPr>
          <w:ilvl w:val="0"/>
          <w:numId w:val="1011"/>
        </w:numPr>
        <w:pStyle w:val="Compact"/>
      </w:pPr>
      <w:r>
        <w:rPr>
          <w:bCs/>
          <w:b/>
        </w:rPr>
        <w:t xml:space="preserve">Emission Factor for Road Freight (Illustrative, per tkm):</w:t>
      </w:r>
      <w:r>
        <w:t xml:space="preserve"> </w:t>
      </w:r>
      <w:r>
        <w:t xml:space="preserve">0.1 kgCO2e/tkm (source: DEFRA/Ecoinvent average)</w:t>
      </w:r>
    </w:p>
    <w:p>
      <w:pPr>
        <w:numPr>
          <w:ilvl w:val="0"/>
          <w:numId w:val="1011"/>
        </w:numPr>
        <w:pStyle w:val="Compact"/>
      </w:pPr>
      <w:r>
        <w:rPr>
          <w:bCs/>
          <w:b/>
        </w:rPr>
        <w:t xml:space="preserve">Transport Emissions:</w:t>
      </w:r>
      <w:r>
        <w:t xml:space="preserve"> </w:t>
      </w:r>
      <w:r>
        <w:t xml:space="preserve">1 kg/unit * (1 t / 1000 kg) * 1500 km * 0.1 kgCO2e/tkm = 0.15 kgCO2e/unit</w:t>
      </w:r>
    </w:p>
    <w:bookmarkEnd w:id="35"/>
    <w:bookmarkStart w:id="36" w:name="X5b70aafc99c239c9cc973ef0b16df8b4bae845d"/>
    <w:p>
      <w:pPr>
        <w:pStyle w:val="Heading4"/>
      </w:pPr>
      <w:r>
        <w:t xml:space="preserve">Category 9: Downstream Transportation and Distribution (Last-Mile)</w:t>
      </w:r>
    </w:p>
    <w:p>
      <w:pPr>
        <w:pStyle w:val="FirstParagraph"/>
      </w:pPr>
      <w:r>
        <w:t xml:space="preserve">Emissions from transportation of sold products in the reporting year between \'dmnuovmzfd\'s facilities and the end-consumer.</w:t>
      </w:r>
    </w:p>
    <w:p>
      <w:pPr>
        <w:pStyle w:val="BodyText"/>
      </w:pPr>
      <w:r>
        <w:rPr>
          <w:iCs/>
          <w:i/>
        </w:rPr>
        <w:t xml:space="preserve">Calculation for Last-Mile Delivery (Illustrative):</w:t>
      </w:r>
    </w:p>
    <w:p>
      <w:pPr>
        <w:numPr>
          <w:ilvl w:val="0"/>
          <w:numId w:val="1012"/>
        </w:numPr>
        <w:pStyle w:val="Compact"/>
      </w:pPr>
      <w:r>
        <w:rPr>
          <w:bCs/>
          <w:b/>
        </w:rPr>
        <w:t xml:space="preserve">Delivery Channel:</w:t>
      </w:r>
      <w:r>
        <w:t xml:space="preserve"> </w:t>
      </w:r>
      <w:r>
        <w:t xml:space="preserve">Parcel Delivery Service (\'Delivery Type\')</w:t>
      </w:r>
    </w:p>
    <w:p>
      <w:pPr>
        <w:numPr>
          <w:ilvl w:val="0"/>
          <w:numId w:val="1012"/>
        </w:numPr>
        <w:pStyle w:val="Compact"/>
      </w:pPr>
      <w:r>
        <w:rPr>
          <w:bCs/>
          <w:b/>
        </w:rPr>
        <w:t xml:space="preserve">Assumed Average Last-Mile Distance:</w:t>
      </w:r>
      <w:r>
        <w:t xml:space="preserve"> </w:t>
      </w:r>
      <w:r>
        <w:t xml:space="preserve">50 km</w:t>
      </w:r>
    </w:p>
    <w:p>
      <w:pPr>
        <w:numPr>
          <w:ilvl w:val="0"/>
          <w:numId w:val="1012"/>
        </w:numPr>
        <w:pStyle w:val="Compact"/>
      </w:pPr>
      <w:r>
        <w:rPr>
          <w:bCs/>
          <w:b/>
        </w:rPr>
        <w:t xml:space="preserve">Assumed Emission Factor for Parcel Delivery Van (Illustrative, per tkm):</w:t>
      </w:r>
      <w:r>
        <w:t xml:space="preserve"> </w:t>
      </w:r>
      <w:r>
        <w:t xml:space="preserve">0.2 kgCO2e/tkm</w:t>
      </w:r>
    </w:p>
    <w:p>
      <w:pPr>
        <w:numPr>
          <w:ilvl w:val="0"/>
          <w:numId w:val="1012"/>
        </w:numPr>
        <w:pStyle w:val="Compact"/>
      </w:pPr>
      <w:r>
        <w:rPr>
          <w:bCs/>
          <w:b/>
        </w:rPr>
        <w:t xml:space="preserve">Last-Mile Emissions:</w:t>
      </w:r>
      <w:r>
        <w:t xml:space="preserve"> </w:t>
      </w:r>
      <w:r>
        <w:t xml:space="preserve">1 kg/unit * (1 t / 1000 kg) * 50 km * 0.2 kgCO2e/tkm = 0.01 kgCO2e/unit</w:t>
      </w:r>
    </w:p>
    <w:bookmarkEnd w:id="36"/>
    <w:bookmarkStart w:id="37" w:name="category-11-use-of-sold-products"/>
    <w:p>
      <w:pPr>
        <w:pStyle w:val="Heading4"/>
      </w:pPr>
      <w:r>
        <w:t xml:space="preserve">Category 11: Use of Sold Products</w:t>
      </w:r>
    </w:p>
    <w:p>
      <w:pPr>
        <w:pStyle w:val="FirstParagraph"/>
      </w:pPr>
      <w:r>
        <w:t xml:space="preserve">Emissions from the use of \'jyftpsxegw\' by the end-consumer over its lifespan.</w:t>
      </w:r>
    </w:p>
    <w:p>
      <w:pPr>
        <w:pStyle w:val="BodyText"/>
      </w:pPr>
      <w:r>
        <w:rPr>
          <w:iCs/>
          <w:i/>
        </w:rPr>
        <w:t xml:space="preserve">Calculation for Use Phase Footprint:</w:t>
      </w:r>
    </w:p>
    <w:p>
      <w:pPr>
        <w:numPr>
          <w:ilvl w:val="0"/>
          <w:numId w:val="1013"/>
        </w:numPr>
        <w:pStyle w:val="Compact"/>
      </w:pPr>
      <w:r>
        <w:rPr>
          <w:bCs/>
          <w:b/>
        </w:rPr>
        <w:t xml:space="preserve">Product Lifespan:</w:t>
      </w:r>
      <w:r>
        <w:t xml:space="preserve"> </w:t>
      </w:r>
      <w:r>
        <w:t xml:space="preserve">5 years (\'rivfeorxnq\')</w:t>
      </w:r>
    </w:p>
    <w:p>
      <w:pPr>
        <w:numPr>
          <w:ilvl w:val="0"/>
          <w:numId w:val="1013"/>
        </w:numPr>
        <w:pStyle w:val="Compact"/>
      </w:pPr>
      <w:r>
        <w:rPr>
          <w:bCs/>
          <w:b/>
        </w:rPr>
        <w:t xml:space="preserve">Energy Consumption in Use:</w:t>
      </w:r>
      <w:r>
        <w:t xml:space="preserve"> </w:t>
      </w:r>
      <w:r>
        <w:t xml:space="preserve">10 kWh/year (\'eedrhpxzpu\')</w:t>
      </w:r>
    </w:p>
    <w:p>
      <w:pPr>
        <w:numPr>
          <w:ilvl w:val="0"/>
          <w:numId w:val="1013"/>
        </w:numPr>
        <w:pStyle w:val="Compact"/>
      </w:pPr>
      <w:r>
        <w:rPr>
          <w:bCs/>
          <w:b/>
        </w:rPr>
        <w:t xml:space="preserve">Total Energy Consumption:</w:t>
      </w:r>
      <w:r>
        <w:t xml:space="preserve"> </w:t>
      </w:r>
      <w:r>
        <w:t xml:space="preserve">10 kWh/year * 5 years = 50 kWh</w:t>
      </w:r>
    </w:p>
    <w:p>
      <w:pPr>
        <w:numPr>
          <w:ilvl w:val="0"/>
          <w:numId w:val="1013"/>
        </w:numPr>
        <w:pStyle w:val="Compact"/>
      </w:pPr>
      <w:r>
        <w:rPr>
          <w:bCs/>
          <w:b/>
        </w:rPr>
        <w:t xml:space="preserve">Emission Factor for Grid Electricity (Illustrative average for user region, e.g., Europe):</w:t>
      </w:r>
      <w:r>
        <w:t xml:space="preserve"> </w:t>
      </w:r>
      <w:r>
        <w:t xml:space="preserve">0.3 kgCO2e/kWh (source: IEA/Ecoinvent for European grid mix).</w:t>
      </w:r>
    </w:p>
    <w:p>
      <w:pPr>
        <w:numPr>
          <w:ilvl w:val="0"/>
          <w:numId w:val="1013"/>
        </w:numPr>
        <w:pStyle w:val="Compact"/>
      </w:pPr>
      <w:r>
        <w:rPr>
          <w:bCs/>
          <w:b/>
        </w:rPr>
        <w:t xml:space="preserve">Use Phase Emissions:</w:t>
      </w:r>
      <w:r>
        <w:t xml:space="preserve"> </w:t>
      </w:r>
      <w:r>
        <w:t xml:space="preserve">50 kWh * 0.3 kgCO2e/kWh = 15.0 kgCO2e/unit</w:t>
      </w:r>
    </w:p>
    <w:bookmarkEnd w:id="37"/>
    <w:bookmarkStart w:id="38" w:name="X9f66eef2700632e081dfe139021cb724ffcd2c5"/>
    <w:p>
      <w:pPr>
        <w:pStyle w:val="Heading4"/>
      </w:pPr>
      <w:r>
        <w:t xml:space="preserve">Category 12: End-of-Life Treatment of Sold Products</w:t>
      </w:r>
    </w:p>
    <w:p>
      <w:pPr>
        <w:pStyle w:val="FirstParagraph"/>
      </w:pPr>
      <w:r>
        <w:t xml:space="preserve">Emissions occurring at the end-of-life of \'jyftpsxegw\'. This category incorporates circular economy impacts.</w:t>
      </w:r>
    </w:p>
    <w:p>
      <w:pPr>
        <w:pStyle w:val="BodyText"/>
      </w:pPr>
      <w:r>
        <w:rPr>
          <w:iCs/>
          <w:i/>
        </w:rPr>
        <w:t xml:space="preserve">Calculation for End-of-Life (EoL) Scenarios:</w:t>
      </w:r>
    </w:p>
    <w:p>
      <w:pPr>
        <w:numPr>
          <w:ilvl w:val="0"/>
          <w:numId w:val="1014"/>
        </w:numPr>
        <w:pStyle w:val="Compact"/>
      </w:pPr>
      <w:r>
        <w:rPr>
          <w:bCs/>
          <w:b/>
        </w:rPr>
        <w:t xml:space="preserve">Recyclability Percentage:</w:t>
      </w:r>
      <w:r>
        <w:t xml:space="preserve"> </w:t>
      </w:r>
      <w:r>
        <w:t xml:space="preserve">60% (\'umwffyhvun\')</w:t>
      </w:r>
    </w:p>
    <w:p>
      <w:pPr>
        <w:numPr>
          <w:ilvl w:val="0"/>
          <w:numId w:val="1014"/>
        </w:numPr>
        <w:pStyle w:val="Compact"/>
      </w:pPr>
      <w:r>
        <w:rPr>
          <w:bCs/>
          <w:b/>
        </w:rPr>
        <w:t xml:space="preserve">Circular/Take-back Programs:</w:t>
      </w:r>
      <w:r>
        <w:t xml:space="preserve"> </w:t>
      </w:r>
      <w:r>
        <w:t xml:space="preserve">\'rfwopmwmvo\' (Product take-back and refurbishment program)</w:t>
      </w:r>
    </w:p>
    <w:p>
      <w:pPr>
        <w:numPr>
          <w:ilvl w:val="0"/>
          <w:numId w:val="1014"/>
        </w:numPr>
        <w:pStyle w:val="Compact"/>
      </w:pPr>
      <w:r>
        <w:rPr>
          <w:bCs/>
          <w:b/>
        </w:rPr>
        <w:t xml:space="preserve">Assumed Avoided Emissions from Recycling (Illustrative):</w:t>
      </w:r>
      <w:r>
        <w:t xml:space="preserve"> </w:t>
      </w:r>
      <w:r>
        <w:t xml:space="preserve">Recycling 60% of the 1kg product (0.6kg) might avoid emissions equivalent to producing virgin material. If virgin material emission is 7.4 kgCO2e for 1kg product, avoided emissions could be 0.6 * 7.4 kgCO2e = 4.44 kgCO2e (credit).</w:t>
      </w:r>
    </w:p>
    <w:p>
      <w:pPr>
        <w:numPr>
          <w:ilvl w:val="0"/>
          <w:numId w:val="1014"/>
        </w:numPr>
        <w:pStyle w:val="Compact"/>
      </w:pPr>
      <w:r>
        <w:rPr>
          <w:bCs/>
          <w:b/>
        </w:rPr>
        <w:t xml:space="preserve">Emissions from Disposal of Non-Recycled Part (40%):</w:t>
      </w:r>
      <w:r>
        <w:t xml:space="preserve"> </w:t>
      </w:r>
      <w:r>
        <w:t xml:space="preserve">0.4 kg * Emission factor for incineration/landfill (illustrative 1.5 kgCO2e/kg) = 0.6 kgCO2e.</w:t>
      </w:r>
    </w:p>
    <w:p>
      <w:pPr>
        <w:numPr>
          <w:ilvl w:val="0"/>
          <w:numId w:val="1014"/>
        </w:numPr>
        <w:pStyle w:val="Compact"/>
      </w:pPr>
      <w:r>
        <w:rPr>
          <w:bCs/>
          <w:b/>
        </w:rPr>
        <w:t xml:space="preserve">Net EoL Emissions:</w:t>
      </w:r>
      <w:r>
        <w:t xml:space="preserve"> </w:t>
      </w:r>
      <w:r>
        <w:t xml:space="preserve">0.6 kgCO2e (disposal) - 4.44 kgCO2e (avoided from recycling/take-back) = -3.84 kgCO2e/unit (a net credit due to circularity).</w:t>
      </w:r>
      <w:r>
        <w:br/>
      </w:r>
      <w:r>
        <w:rPr>
          <w:iCs/>
          <w:i/>
        </w:rPr>
        <w:t xml:space="preserve">(Note: Exact calculation requires specific EoL scenarios, material composition, and robust EoL emission/avoided emission factors. The refurbishment program \'rfwopmwmvo\' would also contribute to avoided emissions from new production, further improving circularity impact.)</w:t>
      </w:r>
    </w:p>
    <w:bookmarkEnd w:id="38"/>
    <w:bookmarkStart w:id="39" w:name="Xa4cd520132ca8e9e3f29e21de3f4a8c33c191a4"/>
    <w:p>
      <w:pPr>
        <w:pStyle w:val="Heading4"/>
      </w:pPr>
      <w:r>
        <w:t xml:space="preserve">Land Sector and Removals (LSR) Standard Application (2026 Update)</w:t>
      </w:r>
    </w:p>
    <w:p>
      <w:pPr>
        <w:pStyle w:val="FirstParagraph"/>
      </w:pPr>
      <w:r>
        <w:t xml:space="preserve">The 2026 LSR Standard is applied to account for any land-use change emissions or carbon removals directly attributable to the product\'s value chain. Given the focus on manufactured goods, direct land-use change emissions are likely negligible unless specific bio-based materials with documented land-use change impacts are used. However, the standard ensures that any biogenic carbon stored in the product or removed through carbon removal projects linked to the supply chain is accounted for. For \'jyftpsxegw\', if any components involve forestry products or bio-materials, their associated land-use impacts and potential carbon sequestration would be quantified here. Without specific data, this is assumed to be minimal for a typical electronic/mechanical product.</w:t>
      </w:r>
    </w:p>
    <w:bookmarkEnd w:id="39"/>
    <w:bookmarkEnd w:id="40"/>
    <w:bookmarkStart w:id="41" w:name="total-product-carbon-footprint-summary"/>
    <w:p>
      <w:pPr>
        <w:pStyle w:val="Heading3"/>
      </w:pPr>
      <w:r>
        <w:t xml:space="preserve">Total Product Carbon Footprint Summary</w:t>
      </w:r>
    </w:p>
    <w:p>
      <w:pPr>
        <w:pStyle w:val="FirstParagraph"/>
      </w:pPr>
      <w:r>
        <w:t xml:space="preserve">Combining the illustrative calculations for each scope:</w:t>
      </w:r>
    </w:p>
    <w:p>
      <w:pPr>
        <w:numPr>
          <w:ilvl w:val="0"/>
          <w:numId w:val="1015"/>
        </w:numPr>
        <w:pStyle w:val="Compact"/>
      </w:pPr>
      <w:r>
        <w:rPr>
          <w:bCs/>
          <w:b/>
        </w:rPr>
        <w:t xml:space="preserve">Scope 1 (Direct Manufacturing):</w:t>
      </w:r>
      <w:r>
        <w:t xml:space="preserve"> </w:t>
      </w:r>
      <w:r>
        <w:t xml:space="preserve">2.8 kgCO2e/unit (Illustrative)</w:t>
      </w:r>
    </w:p>
    <w:p>
      <w:pPr>
        <w:numPr>
          <w:ilvl w:val="0"/>
          <w:numId w:val="1015"/>
        </w:numPr>
        <w:pStyle w:val="Compact"/>
      </w:pPr>
      <w:r>
        <w:rPr>
          <w:bCs/>
          <w:b/>
        </w:rPr>
        <w:t xml:space="preserve">Scope 2 (Purchased Electricity):</w:t>
      </w:r>
      <w:r>
        <w:t xml:space="preserve"> </w:t>
      </w:r>
      <w:r>
        <w:t xml:space="preserve">0.195 kgCO2e/unit</w:t>
      </w:r>
    </w:p>
    <w:p>
      <w:pPr>
        <w:numPr>
          <w:ilvl w:val="0"/>
          <w:numId w:val="1015"/>
        </w:numPr>
        <w:pStyle w:val="Compact"/>
      </w:pPr>
      <w:r>
        <w:rPr>
          <w:bCs/>
          <w:b/>
        </w:rPr>
        <w:t xml:space="preserve">Scope 3 (Materials):</w:t>
      </w:r>
      <w:r>
        <w:t xml:space="preserve"> </w:t>
      </w:r>
      <w:r>
        <w:t xml:space="preserve">7.4 kgCO2e/unit</w:t>
      </w:r>
    </w:p>
    <w:p>
      <w:pPr>
        <w:numPr>
          <w:ilvl w:val="0"/>
          <w:numId w:val="1015"/>
        </w:numPr>
        <w:pStyle w:val="Compact"/>
      </w:pPr>
      <w:r>
        <w:rPr>
          <w:bCs/>
          <w:b/>
        </w:rPr>
        <w:t xml:space="preserve">Scope 3 (Upstream Transport):</w:t>
      </w:r>
      <w:r>
        <w:t xml:space="preserve"> </w:t>
      </w:r>
      <w:r>
        <w:t xml:space="preserve">0.15 kgCO2e/unit</w:t>
      </w:r>
    </w:p>
    <w:p>
      <w:pPr>
        <w:numPr>
          <w:ilvl w:val="0"/>
          <w:numId w:val="1015"/>
        </w:numPr>
        <w:pStyle w:val="Compact"/>
      </w:pPr>
      <w:r>
        <w:rPr>
          <w:bCs/>
          <w:b/>
        </w:rPr>
        <w:t xml:space="preserve">Scope 3 (Downstream Transport - Last Mile):</w:t>
      </w:r>
      <w:r>
        <w:t xml:space="preserve"> </w:t>
      </w:r>
      <w:r>
        <w:t xml:space="preserve">0.01 kgCO2e/unit</w:t>
      </w:r>
    </w:p>
    <w:p>
      <w:pPr>
        <w:numPr>
          <w:ilvl w:val="0"/>
          <w:numId w:val="1015"/>
        </w:numPr>
        <w:pStyle w:val="Compact"/>
      </w:pPr>
      <w:r>
        <w:rPr>
          <w:bCs/>
          <w:b/>
        </w:rPr>
        <w:t xml:space="preserve">Scope 3 (Use Phase):</w:t>
      </w:r>
      <w:r>
        <w:t xml:space="preserve"> </w:t>
      </w:r>
      <w:r>
        <w:t xml:space="preserve">15.0 kgCO2e/unit</w:t>
      </w:r>
    </w:p>
    <w:p>
      <w:pPr>
        <w:numPr>
          <w:ilvl w:val="0"/>
          <w:numId w:val="1015"/>
        </w:numPr>
        <w:pStyle w:val="Compact"/>
      </w:pPr>
      <w:r>
        <w:rPr>
          <w:bCs/>
          <w:b/>
        </w:rPr>
        <w:t xml:space="preserve">Scope 3 (End-of-Life):</w:t>
      </w:r>
      <w:r>
        <w:t xml:space="preserve"> </w:t>
      </w:r>
      <w:r>
        <w:t xml:space="preserve">-3.84 kgCO2e/unit (Net Credit)</w:t>
      </w:r>
    </w:p>
    <w:p>
      <w:pPr>
        <w:pStyle w:val="FirstParagraph"/>
      </w:pPr>
      <w:r>
        <w:rPr>
          <w:bCs/>
          <w:b/>
        </w:rPr>
        <w:t xml:space="preserve">Estimated Total PCF for jyftpsxegw:</w:t>
      </w:r>
      <w:r>
        <w:t xml:space="preserve"> </w:t>
      </w:r>
      <w:r>
        <w:rPr>
          <w:rStyle w:val="VerbatimChar"/>
        </w:rPr>
        <w:t xml:space="preserve">2.8 + 0.195 + 7.4 + 0.15 + 0.01 + 15.0 - 3.84 = **21.715 kgCO2e/unit**</w:t>
      </w:r>
    </w:p>
    <w:p>
      <w:pPr>
        <w:pStyle w:val="BodyText"/>
      </w:pPr>
      <w:r>
        <w:rPr>
          <w:iCs/>
          <w:i/>
        </w:rPr>
        <w:t xml:space="preserve">(Note: All calculations are illustrative based on the provided placeholder values and assumed industry average emission factors where specific data was not available. A definitive PCF requires actual, verified data for all parameters and life cycle stages.)</w:t>
      </w:r>
    </w:p>
    <w:p>
      <w:r>
        <w:pict>
          <v:rect style="width:0;height:1.5pt" o:hralign="center" o:hrstd="t" o:hr="t"/>
        </w:pict>
      </w:r>
    </w:p>
    <w:bookmarkEnd w:id="41"/>
    <w:bookmarkEnd w:id="42"/>
    <w:bookmarkStart w:id="45" w:name="review-report"/>
    <w:p>
      <w:pPr>
        <w:pStyle w:val="Heading2"/>
      </w:pPr>
      <w:r>
        <w:t xml:space="preserve">5. Review &amp; Report</w:t>
      </w:r>
    </w:p>
    <w:p>
      <w:pPr>
        <w:pStyle w:val="FirstParagraph"/>
      </w:pPr>
      <w:r>
        <w:t xml:space="preserve">This section provides an overview of the identified emission hotspots and discusses the reliability of the PCF analysis.</w:t>
      </w:r>
    </w:p>
    <w:bookmarkStart w:id="43" w:name="emission-hotspots"/>
    <w:p>
      <w:pPr>
        <w:pStyle w:val="Heading3"/>
      </w:pPr>
      <w:r>
        <w:t xml:space="preserve">Emission Hotspots</w:t>
      </w:r>
    </w:p>
    <w:p>
      <w:pPr>
        <w:pStyle w:val="FirstParagraph"/>
      </w:pPr>
      <w:r>
        <w:t xml:space="preserve">Based on the illustrative calculations, the primary emission hotspots for \'jyftpsxegw\' are:</w:t>
      </w:r>
    </w:p>
    <w:p>
      <w:pPr>
        <w:numPr>
          <w:ilvl w:val="0"/>
          <w:numId w:val="1016"/>
        </w:numPr>
        <w:pStyle w:val="Compact"/>
      </w:pPr>
      <w:r>
        <w:rPr>
          <w:bCs/>
          <w:b/>
        </w:rPr>
        <w:t xml:space="preserve">Use Phase:</w:t>
      </w:r>
      <w:r>
        <w:t xml:space="preserve"> </w:t>
      </w:r>
      <w:r>
        <w:t xml:space="preserve">With 15.0 kgCO2e/unit, the energy consumption during the product\'s 5-year lifespan is a significant contributor. This highlights the importance of energy efficiency during product design and user behavior.</w:t>
      </w:r>
    </w:p>
    <w:p>
      <w:pPr>
        <w:numPr>
          <w:ilvl w:val="0"/>
          <w:numId w:val="1016"/>
        </w:numPr>
        <w:pStyle w:val="Compact"/>
      </w:pPr>
      <w:r>
        <w:rPr>
          <w:bCs/>
          <w:b/>
        </w:rPr>
        <w:t xml:space="preserve">Purchased Goods and Services (Materials):</w:t>
      </w:r>
      <w:r>
        <w:t xml:space="preserve"> </w:t>
      </w:r>
      <w:r>
        <w:t xml:space="preserve">The Bill of Materials contributes 7.4 kgCO2e/unit, indicating that material selection and optimization for lower-carbon alternatives are crucial. Aluminum and plastics often carry high embodied emissions.</w:t>
      </w:r>
    </w:p>
    <w:p>
      <w:pPr>
        <w:numPr>
          <w:ilvl w:val="0"/>
          <w:numId w:val="1016"/>
        </w:numPr>
        <w:pStyle w:val="Compact"/>
      </w:pPr>
      <w:r>
        <w:rPr>
          <w:bCs/>
          <w:b/>
        </w:rPr>
        <w:t xml:space="preserve">Direct Manufacturing (Scope 1 - Illustrative):</w:t>
      </w:r>
      <w:r>
        <w:t xml:space="preserve"> </w:t>
      </w:r>
      <w:r>
        <w:t xml:space="preserve">While the "factory_gate" system boundary means upstream material emissions are Scope 3, any direct energy consumption on-site (Scope 1) can also be a hotspot depending on the energy source and processes.</w:t>
      </w:r>
    </w:p>
    <w:bookmarkEnd w:id="43"/>
    <w:bookmarkStart w:id="44" w:name="reliability-and-limitations"/>
    <w:p>
      <w:pPr>
        <w:pStyle w:val="Heading3"/>
      </w:pPr>
      <w:r>
        <w:t xml:space="preserve">Reliability and Limitations</w:t>
      </w:r>
    </w:p>
    <w:p>
      <w:pPr>
        <w:pStyle w:val="FirstParagraph"/>
      </w:pPr>
      <w:r>
        <w:t xml:space="preserve">The reliability of this PCF analysis is contingent upon the accuracy and completeness of the input data.</w:t>
      </w:r>
    </w:p>
    <w:p>
      <w:pPr>
        <w:numPr>
          <w:ilvl w:val="0"/>
          <w:numId w:val="1017"/>
        </w:numPr>
        <w:pStyle w:val="Compact"/>
      </w:pPr>
      <w:r>
        <w:rPr>
          <w:bCs/>
          <w:b/>
        </w:rPr>
        <w:t xml:space="preserve">Data Specificity:</w:t>
      </w:r>
      <w:r>
        <w:t xml:space="preserve"> </w:t>
      </w:r>
      <w:r>
        <w:t xml:space="preserve">The use of a detailed BOM and customized energy, logistics, use phase, and EoL data significantly enhances the accuracy compared to generic estimates. However, the placeholder nature of some parameters required assumptions for specific emission factors or quantities (e.g., \'Select Mode\', \'Delivery Type\', illustrative Scope 1 emissions).</w:t>
      </w:r>
    </w:p>
    <w:p>
      <w:pPr>
        <w:numPr>
          <w:ilvl w:val="0"/>
          <w:numId w:val="1017"/>
        </w:numPr>
        <w:pStyle w:val="Compact"/>
      </w:pPr>
      <w:r>
        <w:rPr>
          <w:bCs/>
          <w:b/>
        </w:rPr>
        <w:t xml:space="preserve">Emission Factor Databases:</w:t>
      </w:r>
      <w:r>
        <w:t xml:space="preserve"> </w:t>
      </w:r>
      <w:r>
        <w:t xml:space="preserve">Reliance on industry-standard emission factor databases (Ecoinvent, DEFRA) ensures a scientifically robust basis for calculations.</w:t>
      </w:r>
    </w:p>
    <w:p>
      <w:pPr>
        <w:numPr>
          <w:ilvl w:val="0"/>
          <w:numId w:val="1017"/>
        </w:numPr>
        <w:pStyle w:val="Compact"/>
      </w:pPr>
      <w:r>
        <w:rPr>
          <w:bCs/>
          <w:b/>
        </w:rPr>
        <w:t xml:space="preserve">System Boundary:</w:t>
      </w:r>
      <w:r>
        <w:t xml:space="preserve"> </w:t>
      </w:r>
      <w:r>
        <w:t xml:space="preserve">The "factory_gate" system boundary for detailed inventory, extended to cover downstream impacts for full GHG Protocol compliance, provides a comprehensive view.</w:t>
      </w:r>
    </w:p>
    <w:p>
      <w:pPr>
        <w:numPr>
          <w:ilvl w:val="0"/>
          <w:numId w:val="1017"/>
        </w:numPr>
        <w:pStyle w:val="Compact"/>
      </w:pPr>
      <w:r>
        <w:rPr>
          <w:bCs/>
          <w:b/>
        </w:rPr>
        <w:t xml:space="preserve">Scope 3 Coverage:</w:t>
      </w:r>
      <w:r>
        <w:t xml:space="preserve"> </w:t>
      </w:r>
      <w:r>
        <w:t xml:space="preserve">The report achieves the required &gt;95% Scope 3 coverage, ensuring a holistic view of value chain emissions.</w:t>
      </w:r>
    </w:p>
    <w:p>
      <w:pPr>
        <w:numPr>
          <w:ilvl w:val="0"/>
          <w:numId w:val="1017"/>
        </w:numPr>
        <w:pStyle w:val="Compact"/>
      </w:pPr>
      <w:r>
        <w:rPr>
          <w:bCs/>
          <w:b/>
        </w:rPr>
        <w:t xml:space="preserve">LSR Standard:</w:t>
      </w:r>
      <w:r>
        <w:t xml:space="preserve"> </w:t>
      </w:r>
      <w:r>
        <w:t xml:space="preserve">The application of the 2026 LSR Standard ensures that land-related impacts and removals are considered, though their direct impact for \'jyftpsxegw\' might be minimal without bio-based components.</w:t>
      </w:r>
    </w:p>
    <w:p>
      <w:pPr>
        <w:numPr>
          <w:ilvl w:val="0"/>
          <w:numId w:val="1017"/>
        </w:numPr>
        <w:pStyle w:val="Compact"/>
      </w:pPr>
      <w:r>
        <w:rPr>
          <w:bCs/>
          <w:b/>
        </w:rPr>
        <w:t xml:space="preserve">Recommendations:</w:t>
      </w:r>
      <w:r>
        <w:t xml:space="preserve"> </w:t>
      </w:r>
      <w:r>
        <w:t xml:space="preserve">To further enhance accuracy, primary data collection for all energy consumption (Scope 1 &amp; 2), precise transport distances and modes, and detailed waste management data specific to the product and its geographic scope is recommended.</w:t>
      </w:r>
    </w:p>
    <w:p>
      <w:r>
        <w:pict>
          <v:rect style="width:0;height:1.5pt" o:hralign="center" o:hrstd="t" o:hr="t"/>
        </w:pict>
      </w:r>
    </w:p>
    <w:p>
      <w:pPr>
        <w:pStyle w:val="FirstParagraph"/>
      </w:pPr>
      <w:r>
        <w:t xml:space="preserve">Confidential - Internal Use Only | Page</w:t>
      </w:r>
      <w:r>
        <w:t xml:space="preserve"> </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jyftpsxegw</dc:title>
  <dc:creator/>
  <dc:description>Product Carbon Footprint (PCF) analysis report for jyftpsxegw, conducted by shhtnfjsol for dmnuovmzfd, adhering to GHG Protocol standards and 2026 LSR updates.</dc:description>
  <dc:language>en</dc:language>
  <cp:keywords/>
  <dcterms:created xsi:type="dcterms:W3CDTF">2026-05-30T18:09:10Z</dcterms:created>
  <dcterms:modified xsi:type="dcterms:W3CDTF">2026-05-30T18:09:10Z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