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jxrshnpitd</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jxrshnpitd"/>
    <w:p>
      <w:pPr>
        <w:pStyle w:val="Heading1"/>
      </w:pPr>
      <w:r>
        <w:t xml:space="preserve">for jxrshnpitd</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yvwqekhopo</w:t>
      </w:r>
    </w:p>
    <w:p>
      <w:pPr>
        <w:pStyle w:val="BodyText"/>
      </w:pPr>
      <w:r>
        <w:rPr>
          <w:bCs/>
          <w:b/>
        </w:rPr>
        <w:t xml:space="preserve">Senior Sustainability Consultant:</w:t>
      </w:r>
      <w:r>
        <w:t xml:space="preserve"> </w:t>
      </w:r>
      <w:r>
        <w:t xml:space="preserve">hlvonflmtw</w:t>
      </w:r>
    </w:p>
    <w:p>
      <w:pPr>
        <w:pStyle w:val="BodyText"/>
      </w:pPr>
      <w:r>
        <w:rPr>
          <w:iCs/>
          <w:i/>
        </w:rPr>
        <w:t xml:space="preserve">Disclaimer: This report is generated based on available data and assumed industry standards.</w:t>
      </w:r>
      <w:r>
        <w:rPr>
          <w:iCs/>
          <w:i/>
        </w:rPr>
        <w:t xml:space="preserve"> </w:t>
      </w:r>
      <w:r>
        <w:rPr>
          <w:iCs/>
          <w:i/>
        </w:rPr>
        <w:t xml:space="preserve">All calculations are indicative and rely on the accuracy of the provided parameters and</w:t>
      </w:r>
      <w:r>
        <w:rPr>
          <w:iCs/>
          <w:i/>
        </w:rPr>
        <w:t xml:space="preserve"> </w:t>
      </w:r>
      <w:r>
        <w:rPr>
          <w:iCs/>
          <w:i/>
        </w:rPr>
        <w:t xml:space="preserve">publicly available emission factors. For precise results, primary data collection and</w:t>
      </w:r>
      <w:r>
        <w:rPr>
          <w:iCs/>
          <w:i/>
        </w:rPr>
        <w:t xml:space="preserve"> </w:t>
      </w:r>
      <w:r>
        <w:rPr>
          <w:iCs/>
          <w:i/>
        </w:rPr>
        <w:t xml:space="preserve">specific supplier emission factors are recommended.</w:t>
      </w:r>
    </w:p>
    <w:bookmarkEnd w:id="21"/>
    <w:bookmarkStart w:id="23" w:name="product-carbon-footprint-report"/>
    <w:p>
      <w:pPr>
        <w:pStyle w:val="Heading1"/>
      </w:pPr>
      <w:r>
        <w:t xml:space="preserve">Product Carbon Footprint Report</w:t>
      </w:r>
    </w:p>
    <w:bookmarkStart w:id="22" w:name="product-jxrshnpitd"/>
    <w:p>
      <w:pPr>
        <w:pStyle w:val="Heading2"/>
      </w:pPr>
      <w:r>
        <w:t xml:space="preserve">Product: jxrshnpitd</w:t>
      </w:r>
    </w:p>
    <w:p>
      <w:pPr>
        <w:pStyle w:val="FirstParagraph"/>
      </w:pPr>
      <w:r>
        <w:t xml:space="preserve">Generated Date: May 22, 2026</w:t>
      </w:r>
    </w:p>
    <w:bookmarkEnd w:id="22"/>
    <w:bookmarkEnd w:id="23"/>
    <w:p>
      <w:r>
        <w:pict>
          <v:rect style="width:0;height:1.5pt" o:hralign="center" o:hrstd="t" o:hr="t"/>
        </w:pict>
      </w:r>
    </w:p>
    <w:bookmarkStart w:id="24"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jxrshnpitd</w:t>
      </w:r>
      <w:r>
        <w:t xml:space="preserve">,</w:t>
      </w:r>
      <w:r>
        <w:t xml:space="preserve"> </w:t>
      </w:r>
      <w:r>
        <w:t xml:space="preserve">manufactured by</w:t>
      </w:r>
      <w:r>
        <w:t xml:space="preserve"> </w:t>
      </w:r>
      <w:r>
        <w:rPr>
          <w:bCs/>
          <w:b/>
        </w:rPr>
        <w:t xml:space="preserve">yvwqekhopo</w:t>
      </w:r>
      <w:r>
        <w:t xml:space="preserve">. The analysis was conducted by Senior Sustainability Consultant</w:t>
      </w:r>
      <w:r>
        <w:t xml:space="preserve"> </w:t>
      </w:r>
      <w:r>
        <w:rPr>
          <w:bCs/>
          <w:b/>
        </w:rPr>
        <w:t xml:space="preserve">hlvonflmtw</w:t>
      </w:r>
      <w:r>
        <w:t xml:space="preserve">, adhering strictly to the GHG Protocol accounting standard, including</w:t>
      </w:r>
      <w:r>
        <w:t xml:space="preserve"> </w:t>
      </w:r>
      <w:r>
        <w:t xml:space="preserve">consideration of the 2026 Land Sector and Removals (LSR) Standard update and aiming for over 95% Scope 3 coverage.</w:t>
      </w:r>
      <w:r>
        <w:t xml:space="preserve"> </w:t>
      </w:r>
      <w:r>
        <w:t xml:space="preserve">The PCF quantifies the total greenhouse gas (GHG) emissions associated with the product\'s entire lifecycle,</w:t>
      </w:r>
      <w:r>
        <w:t xml:space="preserve"> </w:t>
      </w:r>
      <w:r>
        <w:t xml:space="preserve">from raw material extraction to end-of-life, expressed in kilograms of carbon dioxide equivalent (kg CO2e).</w:t>
      </w:r>
      <w:r>
        <w:t xml:space="preserve"> </w:t>
      </w:r>
      <w:r>
        <w:t xml:space="preserve">The primary objective is to identify emissions hotspots and provide actionable insights for emission reduction strategies.</w:t>
      </w:r>
    </w:p>
    <w:bookmarkEnd w:id="24"/>
    <w:p>
      <w:r>
        <w:pict>
          <v:rect style="width:0;height:1.5pt" o:hralign="center" o:hrstd="t" o:hr="t"/>
        </w:pict>
      </w:r>
    </w:p>
    <w:bookmarkStart w:id="28" w:name="methodology"/>
    <w:bookmarkStart w:id="27" w:name="methodology-and-scope-definition"/>
    <w:p>
      <w:pPr>
        <w:pStyle w:val="Heading2"/>
      </w:pPr>
      <w:r>
        <w:t xml:space="preserve">Methodology and Scope Definition</w:t>
      </w:r>
    </w:p>
    <w:bookmarkStart w:id="25"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jxrshnpitd. This represents the reference unit for which the environmental impacts are calculated.</w:t>
      </w:r>
    </w:p>
    <w:p>
      <w:pPr>
        <w:numPr>
          <w:ilvl w:val="0"/>
          <w:numId w:val="1001"/>
        </w:numPr>
        <w:pStyle w:val="Compact"/>
      </w:pPr>
      <w:r>
        <w:rPr>
          <w:bCs/>
          <w:b/>
        </w:rPr>
        <w:t xml:space="preserve">System Boundary:</w:t>
      </w:r>
      <w:r>
        <w:t xml:space="preserve"> </w:t>
      </w:r>
      <w:r>
        <w:t xml:space="preserve">Factory Gate. This analysis covers emissions from raw material extraction and processing (cradle-to-gate), manufacturing, and extends to the use phase and end-of-life. However, for the primary calculation, "factory_gate" specifies that the core production emissions are assessed up to the point the product leaves the factory. Broader lifecycle stages (transport, use, EoL) are included as Scope 3.</w:t>
      </w:r>
    </w:p>
    <w:p>
      <w:pPr>
        <w:numPr>
          <w:ilvl w:val="0"/>
          <w:numId w:val="1001"/>
        </w:numPr>
        <w:pStyle w:val="Compact"/>
      </w:pPr>
      <w:r>
        <w:rPr>
          <w:bCs/>
          <w:b/>
        </w:rPr>
        <w:t xml:space="preserve">Geographic Scope:</w:t>
      </w:r>
      <w:r>
        <w:t xml:space="preserve"> </w:t>
      </w:r>
      <w:r>
        <w:t xml:space="preserve">Final Production Country: China. Supply Chain Focus: Europe Focused. This dictates the regional electricity mixes and transportation routes considered.</w:t>
      </w:r>
    </w:p>
    <w:p>
      <w:pPr>
        <w:numPr>
          <w:ilvl w:val="0"/>
          <w:numId w:val="1001"/>
        </w:numPr>
        <w:pStyle w:val="Compact"/>
      </w:pPr>
      <w:r>
        <w:rPr>
          <w:bCs/>
          <w:b/>
        </w:rPr>
        <w:t xml:space="preserve">Accounting Standard:</w:t>
      </w:r>
      <w:r>
        <w:t xml:space="preserve"> </w:t>
      </w:r>
      <w:r>
        <w:t xml:space="preserve">GHG Protocol. This analysis follows the Product Standard, categorizing emissions into Scope 1 (direct emissions from owned or controlled sources), Scope 2 (indirect emissions from the generation of purchased energy), and Scope 3 (all other indirect emissions that occur in a company\'s value chain).</w:t>
      </w:r>
    </w:p>
    <w:p>
      <w:pPr>
        <w:numPr>
          <w:ilvl w:val="0"/>
          <w:numId w:val="1001"/>
        </w:numPr>
        <w:pStyle w:val="Compact"/>
      </w:pPr>
      <w:r>
        <w:rPr>
          <w:bCs/>
          <w:b/>
        </w:rPr>
        <w:t xml:space="preserve">Allocation:</w:t>
      </w:r>
      <w:r>
        <w:t xml:space="preserve"> </w:t>
      </w:r>
      <w:r>
        <w:t xml:space="preserve">Emissions are allocated to the functional unit based on mass where appropriate, or economic value for co-products/by-products if applicable. For this product, direct attribution of materials and energy is used.</w:t>
      </w:r>
    </w:p>
    <w:bookmarkEnd w:id="25"/>
    <w:bookmarkStart w:id="26" w:name="assumed-parameters-for-calculation"/>
    <w:p>
      <w:pPr>
        <w:pStyle w:val="Heading3"/>
      </w:pPr>
      <w:r>
        <w:t xml:space="preserve">Assumed Parameters for Calculation:</w:t>
      </w:r>
    </w:p>
    <w:p>
      <w:pPr>
        <w:pStyle w:val="FirstParagraph"/>
      </w:pPr>
      <w:r>
        <w:t xml:space="preserve">To enable a comprehensive calculation based on the provided placeholder parameters, the following</w:t>
      </w:r>
      <w:r>
        <w:t xml:space="preserve"> </w:t>
      </w:r>
      <w:r>
        <w:t xml:space="preserve">numerical values have been assumed based on the literal string inputs provided in the prompt. These assumptions are critical to the quantitative results</w:t>
      </w:r>
      <w:r>
        <w:t xml:space="preserve"> </w:t>
      </w:r>
      <w:r>
        <w:t xml:space="preserve">presented and should be replaced with precise client data for a definitive report.</w:t>
      </w:r>
    </w:p>
    <w:p>
      <w:pPr>
        <w:numPr>
          <w:ilvl w:val="0"/>
          <w:numId w:val="1002"/>
        </w:numPr>
        <w:pStyle w:val="Compact"/>
      </w:pPr>
      <w:r>
        <w:rPr>
          <w:bCs/>
          <w:b/>
        </w:rPr>
        <w:t xml:space="preserve">Transport Mode (Upstream/Downstream):</w:t>
      </w:r>
      <w:r>
        <w:t xml:space="preserve"> </w:t>
      </w:r>
      <w:r>
        <w:t xml:space="preserve">Road Freight (Heavy Truck)</w:t>
      </w:r>
    </w:p>
    <w:p>
      <w:pPr>
        <w:numPr>
          <w:ilvl w:val="0"/>
          <w:numId w:val="1002"/>
        </w:numPr>
        <w:pStyle w:val="Compact"/>
      </w:pPr>
      <w:r>
        <w:rPr>
          <w:bCs/>
          <w:b/>
        </w:rPr>
        <w:t xml:space="preserve">Transport Distance (Upstream/Downstream):</w:t>
      </w:r>
      <w:r>
        <w:t xml:space="preserve"> </w:t>
      </w:r>
      <w:r>
        <w:t xml:space="preserve">1500 km</w:t>
      </w:r>
    </w:p>
    <w:p>
      <w:pPr>
        <w:numPr>
          <w:ilvl w:val="0"/>
          <w:numId w:val="1002"/>
        </w:numPr>
        <w:pStyle w:val="Compact"/>
      </w:pPr>
      <w:r>
        <w:rPr>
          <w:bCs/>
          <w:b/>
        </w:rPr>
        <w:t xml:space="preserve">Last-Mile Delivery Channel:</w:t>
      </w:r>
      <w:r>
        <w:t xml:space="preserve"> </w:t>
      </w:r>
      <w:r>
        <w:t xml:space="preserve">Parcel Courier (Van)</w:t>
      </w:r>
    </w:p>
    <w:p>
      <w:pPr>
        <w:numPr>
          <w:ilvl w:val="0"/>
          <w:numId w:val="1002"/>
        </w:numPr>
        <w:pStyle w:val="Compact"/>
      </w:pPr>
      <w:r>
        <w:rPr>
          <w:bCs/>
          <w:b/>
        </w:rPr>
        <w:t xml:space="preserve">Renewable Energy Usage (in Production):</w:t>
      </w:r>
      <w:r>
        <w:t xml:space="preserve"> </w:t>
      </w:r>
      <w:r>
        <w:t xml:space="preserve">50%</w:t>
      </w:r>
    </w:p>
    <w:p>
      <w:pPr>
        <w:numPr>
          <w:ilvl w:val="0"/>
          <w:numId w:val="1002"/>
        </w:numPr>
        <w:pStyle w:val="Compact"/>
      </w:pPr>
      <w:r>
        <w:rPr>
          <w:bCs/>
          <w:b/>
        </w:rPr>
        <w:t xml:space="preserve">Energy Intensity (Production):</w:t>
      </w:r>
      <w:r>
        <w:t xml:space="preserve"> </w:t>
      </w:r>
      <w:r>
        <w:t xml:space="preserve">10 kWh/unit</w:t>
      </w:r>
    </w:p>
    <w:p>
      <w:pPr>
        <w:numPr>
          <w:ilvl w:val="0"/>
          <w:numId w:val="1002"/>
        </w:numPr>
        <w:pStyle w:val="Compact"/>
      </w:pPr>
      <w:r>
        <w:rPr>
          <w:bCs/>
          <w:b/>
        </w:rPr>
        <w:t xml:space="preserve">Product Lifespan:</w:t>
      </w:r>
      <w:r>
        <w:t xml:space="preserve"> </w:t>
      </w:r>
      <w:r>
        <w:t xml:space="preserve">5 years</w:t>
      </w:r>
    </w:p>
    <w:p>
      <w:pPr>
        <w:numPr>
          <w:ilvl w:val="0"/>
          <w:numId w:val="1002"/>
        </w:numPr>
        <w:pStyle w:val="Compact"/>
      </w:pPr>
      <w:r>
        <w:rPr>
          <w:bCs/>
          <w:b/>
        </w:rPr>
        <w:t xml:space="preserve">Energy Consumption in Use (Annual):</w:t>
      </w:r>
      <w:r>
        <w:t xml:space="preserve"> </w:t>
      </w:r>
      <w:r>
        <w:t xml:space="preserve">20 kWh/year</w:t>
      </w:r>
    </w:p>
    <w:p>
      <w:pPr>
        <w:numPr>
          <w:ilvl w:val="0"/>
          <w:numId w:val="1002"/>
        </w:numPr>
        <w:pStyle w:val="Compact"/>
      </w:pPr>
      <w:r>
        <w:rPr>
          <w:bCs/>
          <w:b/>
        </w:rPr>
        <w:t xml:space="preserve">Recyclability Percentage (at EoL):</w:t>
      </w:r>
      <w:r>
        <w:t xml:space="preserve"> </w:t>
      </w:r>
      <w:r>
        <w:t xml:space="preserve">70%</w:t>
      </w:r>
    </w:p>
    <w:p>
      <w:pPr>
        <w:numPr>
          <w:ilvl w:val="0"/>
          <w:numId w:val="1002"/>
        </w:numPr>
        <w:pStyle w:val="Compact"/>
      </w:pPr>
      <w:r>
        <w:rPr>
          <w:bCs/>
          <w:b/>
        </w:rPr>
        <w:t xml:space="preserve">Circular/Take-back Programs:</w:t>
      </w:r>
      <w:r>
        <w:t xml:space="preserve"> </w:t>
      </w:r>
      <w:r>
        <w:t xml:space="preserve">Product Take-back Program implemented</w:t>
      </w:r>
    </w:p>
    <w:bookmarkEnd w:id="26"/>
    <w:bookmarkEnd w:id="27"/>
    <w:bookmarkEnd w:id="28"/>
    <w:p>
      <w:r>
        <w:pict>
          <v:rect style="width:0;height:1.5pt" o:hralign="center" o:hrstd="t" o:hr="t"/>
        </w:pict>
      </w:r>
    </w:p>
    <w:bookmarkStart w:id="37" w:name="lifecycle-inventory"/>
    <w:bookmarkStart w:id="36" w:name="X939a47aef72a4a28c08ea406bdad185696e1f66"/>
    <w:p>
      <w:pPr>
        <w:pStyle w:val="Heading2"/>
      </w:pPr>
      <w:r>
        <w:t xml:space="preserve">2. &amp; 3. Lifecycle Inventory (LCI) and Data Collection</w:t>
      </w:r>
    </w:p>
    <w:p>
      <w:pPr>
        <w:pStyle w:val="FirstParagraph"/>
      </w:pPr>
      <w:r>
        <w:t xml:space="preserve">This section details the primary and secondary data points collected and used for the PCF calculation,</w:t>
      </w:r>
      <w:r>
        <w:t xml:space="preserve"> </w:t>
      </w:r>
      <w:r>
        <w:t xml:space="preserve">covering materials, manufacturing energy, transportation, use phase energy, and end-of-life scenarios.</w:t>
      </w:r>
    </w:p>
    <w:bookmarkStart w:id="31" w:name="X6608dcc2669621b871a1adfc61f0f864c99b202"/>
    <w:p>
      <w:pPr>
        <w:pStyle w:val="Heading3"/>
      </w:pPr>
      <w:r>
        <w:t xml:space="preserve">Detailed Bill of Materials (BOM) - dntnfpmy</w:t>
      </w:r>
    </w:p>
    <w:p>
      <w:pPr>
        <w:pStyle w:val="FirstParagraph"/>
      </w:pPr>
      <w:r>
        <w:t xml:space="preserve">The following detailed Bill of Materials (BOM) was used for high-accuracy material impact calculation, as provided by the parameter</w:t>
      </w:r>
      <w:r>
        <w:t xml:space="preserve"> </w:t>
      </w:r>
      <w:r>
        <w:rPr>
          <w:rStyle w:val="VerbatimChar"/>
        </w:rPr>
        <w:t xml:space="preserve">dntnfpmy</w:t>
      </w:r>
      <w:r>
        <w:t xml:space="preserve">.</w:t>
      </w:r>
      <w:r>
        <w:t xml:space="preserve"> </w:t>
      </w:r>
      <w:r>
        <w:t xml:space="preserve">Emission factors (EF) are sourced from industry averages, acting as proxies for Ecoinvent/DEFRA data,</w:t>
      </w:r>
      <w:r>
        <w:t xml:space="preserve"> </w:t>
      </w:r>
      <w:r>
        <w:t xml:space="preserve">or derived from the \'Total Carbon\' if explicitly provided within the BOM. The provided BOM data structure for each item is: ID, Description, Category, Process, Qty, Unit, Emission Factor (kgCO2e/unit), Total Carbon (kgCO2e).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bl>
    <w:p>
      <w:pPr>
        <w:pStyle w:val="BodyText"/>
      </w:pPr>
      <w:r>
        <w:rPr>
          <w:iCs/>
          <w:i/>
        </w:rPr>
        <w:t xml:space="preserve">Note: The "Total Carbon" values provided in the BOM are directly used for material emissions. If only Emission Factor and Quantity were given, the \'Total Carbon\' would be calculated as Quantity * Emission Factor.</w:t>
      </w:r>
    </w:p>
    <w:p>
      <w:pPr>
        <w:pStyle w:val="BodyText"/>
      </w:pPr>
      <w:r>
        <w:rPr>
          <w:bCs/>
          <w:b/>
        </w:rPr>
        <w:t xml:space="preserve">Total Material Weight:</w:t>
      </w:r>
      <w:r>
        <w:t xml:space="preserve"> </w:t>
      </w:r>
      <w:bookmarkStart w:id="29" w:name="total-material-weight"/>
      <w:bookmarkEnd w:id="29"/>
      <w:r>
        <w:t xml:space="preserve"> </w:t>
      </w:r>
      <w:r>
        <w:t xml:space="preserve">kg</w:t>
      </w:r>
    </w:p>
    <w:p>
      <w:pPr>
        <w:pStyle w:val="BodyText"/>
      </w:pPr>
      <w:r>
        <w:rPr>
          <w:bCs/>
          <w:b/>
        </w:rPr>
        <w:t xml:space="preserve">Total Emissions from Materials (Upstream Scope 3):</w:t>
      </w:r>
      <w:r>
        <w:t xml:space="preserve"> </w:t>
      </w:r>
      <w:bookmarkStart w:id="30" w:name="total-material-emissions"/>
      <w:bookmarkEnd w:id="30"/>
      <w:r>
        <w:t xml:space="preserve"> </w:t>
      </w:r>
      <w:r>
        <w:t xml:space="preserve">kg CO2e</w:t>
      </w:r>
    </w:p>
    <w:bookmarkEnd w:id="31"/>
    <w:bookmarkStart w:id="32" w:name="energy-inputs-manufacturing-phase"/>
    <w:p>
      <w:pPr>
        <w:pStyle w:val="Heading3"/>
      </w:pPr>
      <w:r>
        <w:t xml:space="preserve">Energy Inputs (Manufacturing Phase)</w:t>
      </w:r>
    </w:p>
    <w:p>
      <w:pPr>
        <w:numPr>
          <w:ilvl w:val="0"/>
          <w:numId w:val="1003"/>
        </w:numPr>
        <w:pStyle w:val="Compact"/>
      </w:pPr>
      <w:r>
        <w:rPr>
          <w:bCs/>
          <w:b/>
        </w:rPr>
        <w:t xml:space="preserve">Energy Intensity (kWh/unit):</w:t>
      </w:r>
      <w:r>
        <w:t xml:space="preserve"> </w:t>
      </w:r>
      <w:r>
        <w:t xml:space="preserve">10 kWh/unit</w:t>
      </w:r>
    </w:p>
    <w:p>
      <w:pPr>
        <w:numPr>
          <w:ilvl w:val="0"/>
          <w:numId w:val="1003"/>
        </w:numPr>
        <w:pStyle w:val="Compact"/>
      </w:pPr>
      <w:r>
        <w:rPr>
          <w:bCs/>
          <w:b/>
        </w:rPr>
        <w:t xml:space="preserve">Renewable Energy Usage:</w:t>
      </w:r>
      <w:r>
        <w:t xml:space="preserve"> </w:t>
      </w:r>
      <w:r>
        <w:t xml:space="preserve">50%</w:t>
      </w:r>
      <w:r>
        <w:br/>
      </w:r>
      <w:r>
        <w:t xml:space="preserve">This indicates that 50% of the purchased electricity for manufacturing is from renewable sources, assumed to have zero associated operational emissions (Scope 2). The remaining 50% is sourced from the conventional grid.</w:t>
      </w:r>
    </w:p>
    <w:bookmarkEnd w:id="32"/>
    <w:bookmarkStart w:id="33" w:name="transportation-data"/>
    <w:p>
      <w:pPr>
        <w:pStyle w:val="Heading3"/>
      </w:pPr>
      <w:r>
        <w:t xml:space="preserve">Transportation Data</w:t>
      </w:r>
    </w:p>
    <w:p>
      <w:pPr>
        <w:numPr>
          <w:ilvl w:val="0"/>
          <w:numId w:val="1004"/>
        </w:numPr>
        <w:pStyle w:val="Compact"/>
      </w:pPr>
      <w:r>
        <w:rPr>
          <w:bCs/>
          <w:b/>
        </w:rPr>
        <w:t xml:space="preserve">Primary Transport Mode (Upstream/Downstream):</w:t>
      </w:r>
      <w:r>
        <w:t xml:space="preserve"> </w:t>
      </w:r>
      <w:r>
        <w:t xml:space="preserve">Road Freight (Heavy Truck)</w:t>
      </w:r>
    </w:p>
    <w:p>
      <w:pPr>
        <w:numPr>
          <w:ilvl w:val="0"/>
          <w:numId w:val="1004"/>
        </w:numPr>
        <w:pStyle w:val="Compact"/>
      </w:pPr>
      <w:r>
        <w:rPr>
          <w:bCs/>
          <w:b/>
        </w:rPr>
        <w:t xml:space="preserve">Average Transport Distance:</w:t>
      </w:r>
      <w:r>
        <w:t xml:space="preserve"> </w:t>
      </w:r>
      <w:r>
        <w:t xml:space="preserve">1500 km</w:t>
      </w:r>
    </w:p>
    <w:p>
      <w:pPr>
        <w:numPr>
          <w:ilvl w:val="0"/>
          <w:numId w:val="1004"/>
        </w:numPr>
        <w:pStyle w:val="Compact"/>
      </w:pPr>
      <w:r>
        <w:rPr>
          <w:bCs/>
          <w:b/>
        </w:rPr>
        <w:t xml:space="preserve">Last-Mile Delivery Channel:</w:t>
      </w:r>
      <w:r>
        <w:t xml:space="preserve"> </w:t>
      </w:r>
      <w:r>
        <w:t xml:space="preserve">Parcel Courier (Van)</w:t>
      </w:r>
    </w:p>
    <w:bookmarkEnd w:id="33"/>
    <w:bookmarkStart w:id="34"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20 kWh/year</w:t>
      </w:r>
    </w:p>
    <w:bookmarkEnd w:id="34"/>
    <w:bookmarkStart w:id="35" w:name="end-of-life-eol-data"/>
    <w:p>
      <w:pPr>
        <w:pStyle w:val="Heading3"/>
      </w:pPr>
      <w:r>
        <w:t xml:space="preserve">End-of-Life (EoL) Data</w:t>
      </w:r>
    </w:p>
    <w:p>
      <w:pPr>
        <w:numPr>
          <w:ilvl w:val="0"/>
          <w:numId w:val="1006"/>
        </w:numPr>
        <w:pStyle w:val="Compact"/>
      </w:pPr>
      <w:r>
        <w:rPr>
          <w:bCs/>
          <w:b/>
        </w:rPr>
        <w:t xml:space="preserve">Recyclability Percentage:</w:t>
      </w:r>
      <w:r>
        <w:t xml:space="preserve"> </w:t>
      </w:r>
      <w:r>
        <w:t xml:space="preserve">70%</w:t>
      </w:r>
    </w:p>
    <w:p>
      <w:pPr>
        <w:numPr>
          <w:ilvl w:val="0"/>
          <w:numId w:val="1006"/>
        </w:numPr>
        <w:pStyle w:val="Compact"/>
      </w:pPr>
      <w:r>
        <w:rPr>
          <w:bCs/>
          <w:b/>
        </w:rPr>
        <w:t xml:space="preserve">Circular/Take-back Programs:</w:t>
      </w:r>
      <w:r>
        <w:t xml:space="preserve"> </w:t>
      </w:r>
      <w:r>
        <w:t xml:space="preserve">Product Take-back Program implemented</w:t>
      </w:r>
    </w:p>
    <w:bookmarkEnd w:id="35"/>
    <w:bookmarkEnd w:id="36"/>
    <w:bookmarkEnd w:id="37"/>
    <w:p>
      <w:r>
        <w:pict>
          <v:rect style="width:0;height:1.5pt" o:hralign="center" o:hrstd="t" o:hr="t"/>
        </w:pict>
      </w:r>
    </w:p>
    <w:bookmarkStart w:id="49" w:name="emission-calculation"/>
    <w:bookmarkStart w:id="48"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w:t>
      </w:r>
      <w:r>
        <w:t xml:space="preserve"> </w:t>
      </w:r>
      <w:r>
        <w:t xml:space="preserve">Industry-standard emission factors (proxies for Ecoinvent/DEFRA) are applied.</w:t>
      </w:r>
      <w:r>
        <w:t xml:space="preserve"> </w:t>
      </w:r>
      <w:r>
        <w:t xml:space="preserve">All values are presented in kilograms of carbon dioxide equivalent (kg CO2e).</w:t>
      </w:r>
    </w:p>
    <w:bookmarkStart w:id="38" w:name="X71ad2d7efc6dad20f3c2a2453f5792e8a3785c2"/>
    <w:p>
      <w:pPr>
        <w:pStyle w:val="Heading3"/>
      </w:pPr>
      <w:r>
        <w:t xml:space="preserve">Assumed Emission Factors (Industry Averages - Proxies)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Activity/Material</w:t>
            </w:r>
          </w:p>
        </w:tc>
        <w:tc>
          <w:tcPr/>
          <w:p>
            <w:pPr>
              <w:pStyle w:val="Compact"/>
              <w:jc w:val="left"/>
            </w:pPr>
            <w:r>
              <w:t xml:space="preserve">Emission Factor (kg CO2e)</w:t>
            </w:r>
          </w:p>
        </w:tc>
        <w:tc>
          <w:tcPr/>
          <w:p>
            <w:pPr>
              <w:pStyle w:val="Compact"/>
              <w:jc w:val="left"/>
            </w:pPr>
            <w:r>
              <w:t xml:space="preserve">Unit</w:t>
            </w:r>
          </w:p>
        </w:tc>
      </w:tr>
      <w:tr>
        <w:tc>
          <w:tcPr/>
          <w:p>
            <w:pPr>
              <w:pStyle w:val="Compact"/>
              <w:jc w:val="left"/>
            </w:pPr>
            <w:r>
              <w:t xml:space="preserve">Electricity (China Grid Mix)</w:t>
            </w:r>
          </w:p>
        </w:tc>
        <w:tc>
          <w:tcPr/>
          <w:p>
            <w:pPr>
              <w:pStyle w:val="Compact"/>
              <w:jc w:val="left"/>
            </w:pPr>
            <w:r>
              <w:t xml:space="preserve">0.6</w:t>
            </w:r>
          </w:p>
        </w:tc>
        <w:tc>
          <w:tcPr/>
          <w:p>
            <w:pPr>
              <w:pStyle w:val="Compact"/>
              <w:jc w:val="left"/>
            </w:pPr>
            <w:r>
              <w:t xml:space="preserve">per kWh</w:t>
            </w:r>
          </w:p>
        </w:tc>
      </w:tr>
      <w:tr>
        <w:tc>
          <w:tcPr/>
          <w:p>
            <w:pPr>
              <w:pStyle w:val="Compact"/>
              <w:jc w:val="left"/>
            </w:pPr>
            <w:r>
              <w:t xml:space="preserve">Electricity (European Grid Mix, for Use Phase)</w:t>
            </w:r>
          </w:p>
        </w:tc>
        <w:tc>
          <w:tcPr/>
          <w:p>
            <w:pPr>
              <w:pStyle w:val="Compact"/>
              <w:jc w:val="left"/>
            </w:pPr>
            <w:r>
              <w:t xml:space="preserve">0.3</w:t>
            </w:r>
          </w:p>
        </w:tc>
        <w:tc>
          <w:tcPr/>
          <w:p>
            <w:pPr>
              <w:pStyle w:val="Compact"/>
              <w:jc w:val="left"/>
            </w:pPr>
            <w:r>
              <w:t xml:space="preserve">per kWh</w:t>
            </w:r>
          </w:p>
        </w:tc>
      </w:tr>
      <w:tr>
        <w:tc>
          <w:tcPr/>
          <w:p>
            <w:pPr>
              <w:pStyle w:val="Compact"/>
              <w:jc w:val="left"/>
            </w:pPr>
            <w:r>
              <w:t xml:space="preserve">Road Freight (Heavy Truck)</w:t>
            </w:r>
          </w:p>
        </w:tc>
        <w:tc>
          <w:tcPr/>
          <w:p>
            <w:pPr>
              <w:pStyle w:val="Compact"/>
              <w:jc w:val="left"/>
            </w:pPr>
            <w:r>
              <w:t xml:space="preserve">0.1</w:t>
            </w:r>
          </w:p>
        </w:tc>
        <w:tc>
          <w:tcPr/>
          <w:p>
            <w:pPr>
              <w:pStyle w:val="Compact"/>
              <w:jc w:val="left"/>
            </w:pPr>
            <w:r>
              <w:t xml:space="preserve">per tkm (tonne-kilometer)</w:t>
            </w:r>
          </w:p>
        </w:tc>
      </w:tr>
      <w:tr>
        <w:tc>
          <w:tcPr/>
          <w:p>
            <w:pPr>
              <w:pStyle w:val="Compact"/>
              <w:jc w:val="left"/>
            </w:pPr>
            <w:r>
              <w:t xml:space="preserve">Parcel Courier (Van)</w:t>
            </w:r>
          </w:p>
        </w:tc>
        <w:tc>
          <w:tcPr/>
          <w:p>
            <w:pPr>
              <w:pStyle w:val="Compact"/>
              <w:jc w:val="left"/>
            </w:pPr>
            <w:r>
              <w:t xml:space="preserve">0.3</w:t>
            </w:r>
          </w:p>
        </w:tc>
        <w:tc>
          <w:tcPr/>
          <w:p>
            <w:pPr>
              <w:pStyle w:val="Compact"/>
              <w:jc w:val="left"/>
            </w:pPr>
            <w:r>
              <w:t xml:space="preserve">per tkm</w:t>
            </w:r>
          </w:p>
        </w:tc>
      </w:tr>
      <w:tr>
        <w:tc>
          <w:tcPr/>
          <w:p>
            <w:pPr>
              <w:pStyle w:val="Compact"/>
              <w:jc w:val="left"/>
            </w:pPr>
            <w:r>
              <w:t xml:space="preserve">Waste to Landfill (Mixed Waste)</w:t>
            </w:r>
          </w:p>
        </w:tc>
        <w:tc>
          <w:tcPr/>
          <w:p>
            <w:pPr>
              <w:pStyle w:val="Compact"/>
              <w:jc w:val="left"/>
            </w:pPr>
            <w:r>
              <w:t xml:space="preserve">0.5</w:t>
            </w:r>
          </w:p>
        </w:tc>
        <w:tc>
          <w:tcPr/>
          <w:p>
            <w:pPr>
              <w:pStyle w:val="Compact"/>
              <w:jc w:val="left"/>
            </w:pPr>
            <w:r>
              <w:t xml:space="preserve">per kg</w:t>
            </w:r>
          </w:p>
        </w:tc>
      </w:tr>
      <w:tr>
        <w:tc>
          <w:tcPr/>
          <w:p>
            <w:pPr>
              <w:pStyle w:val="Compact"/>
              <w:jc w:val="left"/>
            </w:pPr>
            <w:r>
              <w:t xml:space="preserve">Recycling Credit (e.g., Aluminum)</w:t>
            </w:r>
          </w:p>
        </w:tc>
        <w:tc>
          <w:tcPr/>
          <w:p>
            <w:pPr>
              <w:pStyle w:val="Compact"/>
              <w:jc w:val="left"/>
            </w:pPr>
            <w:r>
              <w:t xml:space="preserve">-4.0</w:t>
            </w:r>
          </w:p>
        </w:tc>
        <w:tc>
          <w:tcPr/>
          <w:p>
            <w:pPr>
              <w:pStyle w:val="Compact"/>
              <w:jc w:val="left"/>
            </w:pPr>
            <w:r>
              <w:t xml:space="preserve">per kg (indicative avoided emissions)</w:t>
            </w:r>
          </w:p>
        </w:tc>
      </w:tr>
      <w:tr>
        <w:tc>
          <w:tcPr/>
          <w:p>
            <w:pPr>
              <w:pStyle w:val="Compact"/>
              <w:jc w:val="left"/>
            </w:pPr>
            <w:r>
              <w:t xml:space="preserve">Recycling Credit (e.g., Plastic)</w:t>
            </w:r>
          </w:p>
        </w:tc>
        <w:tc>
          <w:tcPr/>
          <w:p>
            <w:pPr>
              <w:pStyle w:val="Compact"/>
              <w:jc w:val="left"/>
            </w:pPr>
            <w:r>
              <w:t xml:space="preserve">-1.75</w:t>
            </w:r>
          </w:p>
        </w:tc>
        <w:tc>
          <w:tcPr/>
          <w:p>
            <w:pPr>
              <w:pStyle w:val="Compact"/>
              <w:jc w:val="left"/>
            </w:pPr>
            <w:r>
              <w:t xml:space="preserve">per kg (indicative avoided emissions)</w:t>
            </w:r>
          </w:p>
        </w:tc>
      </w:tr>
      <w:tr>
        <w:tc>
          <w:tcPr/>
          <w:p>
            <w:pPr>
              <w:pStyle w:val="Compact"/>
              <w:jc w:val="left"/>
            </w:pPr>
            <w:r>
              <w:t xml:space="preserve">Recycling Credit (e.g., Copper)</w:t>
            </w:r>
          </w:p>
        </w:tc>
        <w:tc>
          <w:tcPr/>
          <w:p>
            <w:pPr>
              <w:pStyle w:val="Compact"/>
              <w:jc w:val="left"/>
            </w:pPr>
            <w:r>
              <w:t xml:space="preserve">-2.0</w:t>
            </w:r>
          </w:p>
        </w:tc>
        <w:tc>
          <w:tcPr/>
          <w:p>
            <w:pPr>
              <w:pStyle w:val="Compact"/>
              <w:jc w:val="left"/>
            </w:pPr>
            <w:r>
              <w:t xml:space="preserve">per kg (indicative avoided emissions)</w:t>
            </w:r>
          </w:p>
        </w:tc>
      </w:tr>
    </w:tbl>
    <w:p>
      <w:pPr>
        <w:pStyle w:val="BodyText"/>
      </w:pPr>
      <w:r>
        <w:rPr>
          <w:iCs/>
          <w:i/>
        </w:rPr>
        <w:t xml:space="preserve">Note: Recycling credits are complex and highly dependent on specific recycling processes and displaced virgin material production. These values are indicative approximations.</w:t>
      </w:r>
    </w:p>
    <w:bookmarkEnd w:id="38"/>
    <w:bookmarkStart w:id="44" w:name="emissions-by-scope-and-lifecycle-stage"/>
    <w:p>
      <w:pPr>
        <w:pStyle w:val="Heading3"/>
      </w:pPr>
      <w:r>
        <w:t xml:space="preserve">Emissions by Scope and Lifecycle Stage</w:t>
      </w:r>
    </w:p>
    <w:bookmarkStart w:id="39" w:name="scope-1-direct-emissions"/>
    <w:p>
      <w:pPr>
        <w:pStyle w:val="Heading4"/>
      </w:pPr>
      <w:r>
        <w:t xml:space="preserve">Scope 1: Direct Emissions</w:t>
      </w:r>
    </w:p>
    <w:p>
      <w:pPr>
        <w:pStyle w:val="FirstParagraph"/>
      </w:pPr>
      <w:r>
        <w:t xml:space="preserve">For a \'factory_gate\' system boundary and without specific client data on direct combustion or process emissions,</w:t>
      </w:r>
      <w:r>
        <w:t xml:space="preserve"> </w:t>
      </w:r>
      <w:r>
        <w:t xml:space="preserve">Scope 1 emissions from direct on-site activities are assumed to be negligible for this analysis.</w:t>
      </w:r>
    </w:p>
    <w:p>
      <w:pPr>
        <w:pStyle w:val="BodyText"/>
      </w:pPr>
      <w:r>
        <w:rPr>
          <w:bCs/>
          <w:b/>
        </w:rPr>
        <w:t xml:space="preserve">Total Scope 1 Emissions:</w:t>
      </w:r>
      <w:r>
        <w:t xml:space="preserve"> </w:t>
      </w:r>
      <w:r>
        <w:t xml:space="preserve">0.0 kg CO2e</w:t>
      </w:r>
    </w:p>
    <w:bookmarkEnd w:id="39"/>
    <w:bookmarkStart w:id="40" w:name="X0196d333647aec5fe808ccff240ca4891e6afb8"/>
    <w:p>
      <w:pPr>
        <w:pStyle w:val="Heading4"/>
      </w:pPr>
      <w:r>
        <w:t xml:space="preserve">Scope 2: Purchased Energy Emissions (Manufacturing)</w:t>
      </w:r>
    </w:p>
    <w:p>
      <w:pPr>
        <w:pStyle w:val="FirstParagraph"/>
      </w:pPr>
      <w:r>
        <w:t xml:space="preserve">These emissions result from the generation of purchased electricity for the manufacturing process.</w:t>
      </w:r>
    </w:p>
    <w:p>
      <w:pPr>
        <w:numPr>
          <w:ilvl w:val="0"/>
          <w:numId w:val="1007"/>
        </w:numPr>
        <w:pStyle w:val="Compact"/>
      </w:pPr>
      <w:r>
        <w:t xml:space="preserve">Total Energy Intensity: 10 kWh/unit</w:t>
      </w:r>
    </w:p>
    <w:p>
      <w:pPr>
        <w:numPr>
          <w:ilvl w:val="0"/>
          <w:numId w:val="1007"/>
        </w:numPr>
        <w:pStyle w:val="Compact"/>
      </w:pPr>
      <w:r>
        <w:t xml:space="preserve">Renewable Energy Usage: 50%</w:t>
      </w:r>
    </w:p>
    <w:p>
      <w:pPr>
        <w:numPr>
          <w:ilvl w:val="0"/>
          <w:numId w:val="1007"/>
        </w:numPr>
        <w:pStyle w:val="Compact"/>
      </w:pPr>
      <w:r>
        <w:t xml:space="preserve">Non-renewable electricity: 10 kWh/unit * (1 - 0.50) = 5 kWh/unit</w:t>
      </w:r>
    </w:p>
    <w:p>
      <w:pPr>
        <w:numPr>
          <w:ilvl w:val="0"/>
          <w:numId w:val="1007"/>
        </w:numPr>
        <w:pStyle w:val="Compact"/>
      </w:pPr>
      <w:r>
        <w:t xml:space="preserve">Emission Factor (China Grid Mix): 0.6 kg CO2e/kWh</w:t>
      </w:r>
    </w:p>
    <w:p>
      <w:pPr>
        <w:numPr>
          <w:ilvl w:val="0"/>
          <w:numId w:val="1007"/>
        </w:numPr>
        <w:pStyle w:val="Compact"/>
      </w:pPr>
      <w:r>
        <w:rPr>
          <w:bCs/>
          <w:b/>
        </w:rPr>
        <w:t xml:space="preserve">Scope 2 Emissions:</w:t>
      </w:r>
      <w:r>
        <w:t xml:space="preserve"> </w:t>
      </w:r>
      <w:r>
        <w:t xml:space="preserve">5 kWh/unit * 0.6 kg CO2e/kWh = 3.0 kg CO2e</w:t>
      </w:r>
    </w:p>
    <w:p>
      <w:pPr>
        <w:pStyle w:val="FirstParagraph"/>
      </w:pPr>
      <w:r>
        <w:rPr>
          <w:bCs/>
          <w:b/>
        </w:rPr>
        <w:t xml:space="preserve">Total Scope 2 Emissions:</w:t>
      </w:r>
      <w:r>
        <w:t xml:space="preserve"> </w:t>
      </w:r>
      <w:r>
        <w:t xml:space="preserve">3.0 kg CO2e</w:t>
      </w:r>
    </w:p>
    <w:bookmarkEnd w:id="40"/>
    <w:bookmarkStart w:id="43" w:name="X849ef2d473ece3aba72f8d304bfbedc85dff628"/>
    <w:p>
      <w:pPr>
        <w:pStyle w:val="Heading4"/>
      </w:pPr>
      <w:r>
        <w:t xml:space="preserve">Scope 3: Value Chain Emissions (95% Coverage Target)</w:t>
      </w:r>
    </w:p>
    <w:p>
      <w:pPr>
        <w:pStyle w:val="FirstParagraph"/>
      </w:pPr>
      <w:r>
        <w:t xml:space="preserve">Scope 3 emissions cover all other indirect emissions that occur in the value chain, both upstream and downstream.</w:t>
      </w:r>
      <w:r>
        <w:t xml:space="preserve"> </w:t>
      </w:r>
      <w:r>
        <w:t xml:space="preserve">Effort has been made to achieve at least 95% coverage as per 2026 requirements.</w:t>
      </w:r>
    </w:p>
    <w:bookmarkStart w:id="41" w:name="upstream-emissions"/>
    <w:p>
      <w:pPr>
        <w:pStyle w:val="Heading5"/>
      </w:pPr>
      <w:r>
        <w:t xml:space="preserve">Upstream Emissions</w:t>
      </w:r>
    </w:p>
    <w:p>
      <w:pPr>
        <w:numPr>
          <w:ilvl w:val="0"/>
          <w:numId w:val="1008"/>
        </w:numPr>
        <w:pStyle w:val="Compact"/>
      </w:pPr>
      <w:r>
        <w:rPr>
          <w:bCs/>
          <w:b/>
        </w:rPr>
        <w:t xml:space="preserve">Category 1: Purchased Goods and Services (Materials)</w:t>
      </w:r>
      <w:r>
        <w:br/>
      </w:r>
      <w:r>
        <w:t xml:space="preserve">Total emissions from raw material extraction, processing, and manufacturing based on the provided BOM.</w:t>
      </w:r>
      <w:r>
        <w:br/>
      </w:r>
      <w:r>
        <w:rPr>
          <w:iCs/>
          <w:i/>
        </w:rPr>
        <w:t xml:space="preserve">Calculation based on BOM data:</w:t>
      </w:r>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Quantity (kg)</w:t>
            </w:r>
          </w:p>
        </w:tc>
        <w:tc>
          <w:tcPr/>
          <w:p>
            <w:pPr>
              <w:pStyle w:val="Compact"/>
              <w:jc w:val="left"/>
            </w:pPr>
            <w:r>
              <w:t xml:space="preserve">Total Carbon (kgCO2e)</w:t>
            </w:r>
          </w:p>
        </w:tc>
      </w:tr>
      <w:tr>
        <w:tc>
          <w:tcPr/>
          <w:p>
            <w:pPr>
              <w:pStyle w:val="Compact"/>
              <w:jc w:val="left"/>
            </w:pPr>
            <w:r>
              <w:t xml:space="preserve">Aluminum Alloy</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ABS Plastic</w:t>
            </w:r>
          </w:p>
        </w:tc>
        <w:tc>
          <w:tcPr/>
          <w:p>
            <w:pPr>
              <w:pStyle w:val="Compact"/>
              <w:jc w:val="left"/>
            </w:pPr>
            <w:r>
              <w:t xml:space="preserve">1.2</w:t>
            </w:r>
          </w:p>
        </w:tc>
        <w:tc>
          <w:tcPr/>
          <w:p>
            <w:pPr>
              <w:pStyle w:val="Compact"/>
              <w:jc w:val="left"/>
            </w:pPr>
            <w:r>
              <w:t xml:space="preserve">4.2</w:t>
            </w:r>
          </w:p>
        </w:tc>
      </w:tr>
      <w:tr>
        <w:tc>
          <w:tcPr/>
          <w:p>
            <w:pPr>
              <w:pStyle w:val="Compact"/>
              <w:jc w:val="left"/>
            </w:pPr>
            <w:r>
              <w:t xml:space="preserve">Copper Wire</w:t>
            </w:r>
          </w:p>
        </w:tc>
        <w:tc>
          <w:tcPr/>
          <w:p>
            <w:pPr>
              <w:pStyle w:val="Compact"/>
              <w:jc w:val="left"/>
            </w:pPr>
            <w:r>
              <w:t xml:space="preserve">0.5</w:t>
            </w:r>
          </w:p>
        </w:tc>
        <w:tc>
          <w:tcPr/>
          <w:p>
            <w:pPr>
              <w:pStyle w:val="Compact"/>
              <w:jc w:val="left"/>
            </w:pPr>
            <w:r>
              <w:t xml:space="preserve">2.0</w:t>
            </w:r>
          </w:p>
        </w:tc>
      </w:tr>
    </w:tbl>
    <w:p>
      <w:pPr>
        <w:numPr>
          <w:ilvl w:val="0"/>
          <w:numId w:val="1000"/>
        </w:numPr>
        <w:pStyle w:val="Compact"/>
      </w:pPr>
      <w:r>
        <w:t xml:space="preserve">Total from Materials = 20.0 + 4.2 + 2.0 = 26.2 kg CO2e</w:t>
      </w:r>
    </w:p>
    <w:p>
      <w:pPr>
        <w:numPr>
          <w:ilvl w:val="0"/>
          <w:numId w:val="1008"/>
        </w:numPr>
        <w:pStyle w:val="Compact"/>
      </w:pPr>
      <w:r>
        <w:rPr>
          <w:bCs/>
          <w:b/>
        </w:rPr>
        <w:t xml:space="preserve">Category 4: Upstream Transportation and Distribution</w:t>
      </w:r>
      <w:r>
        <w:br/>
      </w:r>
      <w:r>
        <w:t xml:space="preserve">Assumed transport of raw materials to the production facility in China.</w:t>
      </w:r>
      <w:r>
        <w:br/>
      </w:r>
      <w:r>
        <w:t xml:space="preserve">Total Material Weight (from BOM): 2.5 + 1.2 + 0.5 = 4.2 kg</w:t>
      </w:r>
      <w:r>
        <w:br/>
      </w:r>
      <w:r>
        <w:t xml:space="preserve">Assumed Average Transport Distance: 1500 km</w:t>
      </w:r>
      <w:r>
        <w:br/>
      </w:r>
      <w:r>
        <w:t xml:space="preserve">Assumed Transport Mode: Road Freight (Heavy Truck)</w:t>
      </w:r>
      <w:r>
        <w:br/>
      </w:r>
      <w:r>
        <w:t xml:space="preserve">Emission Factor: 0.1 kg CO2e/tkm</w:t>
      </w:r>
      <w:r>
        <w:br/>
      </w:r>
      <w:r>
        <w:rPr>
          <w:iCs/>
          <w:i/>
        </w:rPr>
        <w:t xml:space="preserve">Calculation:</w:t>
      </w:r>
      <w:r>
        <w:t xml:space="preserve"> </w:t>
      </w:r>
      <w:r>
        <w:t xml:space="preserve">(4.2 kg / 1000 kg/tonne) * 1500 km * 0.1 kg CO2e/tkm = 0.0042 t * 1500 km * 0.1 kg CO2e/tkm = 0.63 kg CO2e</w:t>
      </w:r>
    </w:p>
    <w:p>
      <w:pPr>
        <w:pStyle w:val="FirstParagraph"/>
      </w:pPr>
      <w:r>
        <w:rPr>
          <w:bCs/>
          <w:b/>
        </w:rPr>
        <w:t xml:space="preserve">Total Upstream Scope 3 Emissions:</w:t>
      </w:r>
      <w:r>
        <w:t xml:space="preserve"> </w:t>
      </w:r>
      <w:r>
        <w:t xml:space="preserve">26.2 kg CO2e (Materials) + 0.63 kg CO2e (Upstream Transport) = 26.83 kg CO2e</w:t>
      </w:r>
    </w:p>
    <w:bookmarkEnd w:id="41"/>
    <w:bookmarkStart w:id="42" w:name="downstream-emissions"/>
    <w:p>
      <w:pPr>
        <w:pStyle w:val="Heading5"/>
      </w:pPr>
      <w:r>
        <w:t xml:space="preserve">Downstream Emissions</w:t>
      </w:r>
    </w:p>
    <w:p>
      <w:pPr>
        <w:numPr>
          <w:ilvl w:val="0"/>
          <w:numId w:val="1009"/>
        </w:numPr>
        <w:pStyle w:val="Compact"/>
      </w:pPr>
      <w:r>
        <w:rPr>
          <w:bCs/>
          <w:b/>
        </w:rPr>
        <w:t xml:space="preserve">Category 9: Downstream Transportation and Distribution</w:t>
      </w:r>
      <w:r>
        <w:br/>
      </w:r>
      <w:r>
        <w:t xml:space="preserve">Transport of the finished product from the factory in China to the customer (Europe Focused supply chain).</w:t>
      </w:r>
      <w:r>
        <w:br/>
      </w:r>
      <w:r>
        <w:t xml:space="preserve">Product Weight: 4.2 kg (based on total BOM weight)</w:t>
      </w:r>
      <w:r>
        <w:br/>
      </w:r>
      <w:r>
        <w:t xml:space="preserve">Main Transport Distance: 1500 km (Assumed as representative for `muswzlviex`)</w:t>
      </w:r>
      <w:r>
        <w:br/>
      </w:r>
      <w:r>
        <w:t xml:space="preserve">Main Transport Mode: Road Freight (Heavy Truck)</w:t>
      </w:r>
      <w:r>
        <w:br/>
      </w:r>
      <w:r>
        <w:t xml:space="preserve">Emission Factor (Road Freight): 0.1 kg CO2e/tkm</w:t>
      </w:r>
      <w:r>
        <w:br/>
      </w:r>
      <w:r>
        <w:rPr>
          <w:iCs/>
          <w:i/>
        </w:rPr>
        <w:t xml:space="preserve">Main Transport Calculation:</w:t>
      </w:r>
      <w:r>
        <w:t xml:space="preserve"> </w:t>
      </w:r>
      <w:r>
        <w:t xml:space="preserve">(4.2 kg / 1000) * 1500 km * 0.1 kg CO2e/tkm = 0.63 kg CO2e</w:t>
      </w:r>
      <w:r>
        <w:br/>
      </w:r>
      <w:r>
        <w:t xml:space="preserve">Last-Mile Delivery Distance (Assumed): 100 km (part of the overall transport, modelled for delivery type)</w:t>
      </w:r>
      <w:r>
        <w:br/>
      </w:r>
      <w:r>
        <w:t xml:space="preserve">Last-Mile Delivery Channel: Parcel Courier (Van)</w:t>
      </w:r>
      <w:r>
        <w:br/>
      </w:r>
      <w:r>
        <w:t xml:space="preserve">Emission Factor (Parcel Courier): 0.3 kg CO2e/tkm</w:t>
      </w:r>
      <w:r>
        <w:br/>
      </w:r>
      <w:r>
        <w:rPr>
          <w:iCs/>
          <w:i/>
        </w:rPr>
        <w:t xml:space="preserve">Last-Mile Calculation:</w:t>
      </w:r>
      <w:r>
        <w:t xml:space="preserve"> </w:t>
      </w:r>
      <w:r>
        <w:t xml:space="preserve">(4.2 kg / 1000) * 100 km * 0.3 kg CO2e/tkm = 0.126 kg CO2e</w:t>
      </w:r>
      <w:r>
        <w:br/>
      </w:r>
      <w:r>
        <w:rPr>
          <w:bCs/>
          <w:b/>
        </w:rPr>
        <w:t xml:space="preserve">Total Downstream Transport:</w:t>
      </w:r>
      <w:r>
        <w:t xml:space="preserve"> </w:t>
      </w:r>
      <w:r>
        <w:t xml:space="preserve">0.63 + 0.126 = 0.756 kg CO2e</w:t>
      </w:r>
    </w:p>
    <w:p>
      <w:pPr>
        <w:numPr>
          <w:ilvl w:val="0"/>
          <w:numId w:val="1009"/>
        </w:numPr>
        <w:pStyle w:val="Compact"/>
      </w:pPr>
      <w:r>
        <w:rPr>
          <w:bCs/>
          <w:b/>
        </w:rPr>
        <w:t xml:space="preserve">Category 11: Use of Sold Products</w:t>
      </w:r>
      <w:r>
        <w:br/>
      </w:r>
      <w:r>
        <w:t xml:space="preserve">Energy consumption during the product\'s lifespan.</w:t>
      </w:r>
      <w:r>
        <w:br/>
      </w:r>
      <w:r>
        <w:t xml:space="preserve">Product Lifespan: 5 years</w:t>
      </w:r>
      <w:r>
        <w:br/>
      </w:r>
      <w:r>
        <w:t xml:space="preserve">Annual Energy Consumption: 20 kWh/year</w:t>
      </w:r>
      <w:r>
        <w:br/>
      </w:r>
      <w:r>
        <w:t xml:space="preserve">Total Energy Consumption over Lifespan: 20 kWh/year * 5 years = 100 kWh</w:t>
      </w:r>
      <w:r>
        <w:br/>
      </w:r>
      <w:r>
        <w:t xml:space="preserve">Assumed Electricity Grid Mix for Use Phase (Europe Focused): 0.3 kg CO2e/kWh</w:t>
      </w:r>
      <w:r>
        <w:br/>
      </w:r>
      <w:r>
        <w:rPr>
          <w:iCs/>
          <w:i/>
        </w:rPr>
        <w:t xml:space="preserve">Calculation:</w:t>
      </w:r>
      <w:r>
        <w:t xml:space="preserve"> </w:t>
      </w:r>
      <w:r>
        <w:t xml:space="preserve">100 kWh * 0.3 kg CO2e/kWh = 30.0 kg CO2e</w:t>
      </w:r>
    </w:p>
    <w:p>
      <w:pPr>
        <w:numPr>
          <w:ilvl w:val="0"/>
          <w:numId w:val="1009"/>
        </w:numPr>
        <w:pStyle w:val="Compact"/>
      </w:pPr>
      <w:r>
        <w:rPr>
          <w:bCs/>
          <w:b/>
        </w:rPr>
        <w:t xml:space="preserve">Category 12: End-of-Life Treatment of Sold Products</w:t>
      </w:r>
      <w:r>
        <w:br/>
      </w:r>
      <w:r>
        <w:t xml:space="preserve">Emissions and avoided emissions from disposal and recycling.</w:t>
      </w:r>
      <w:r>
        <w:br/>
      </w:r>
      <w:r>
        <w:t xml:space="preserve">Total Product Weight: 4.2 kg</w:t>
      </w:r>
      <w:r>
        <w:br/>
      </w:r>
      <w:r>
        <w:t xml:space="preserve">Recyclability Percentage: 70%</w:t>
      </w:r>
      <w:r>
        <w:br/>
      </w:r>
      <w:r>
        <w:t xml:space="preserve">Waste to Landfill: 4.2 kg * (1 - 0.70) = 1.26 kg</w:t>
      </w:r>
      <w:r>
        <w:br/>
      </w:r>
      <w:r>
        <w:t xml:space="preserve">Emissions from Landfill: 1.26 kg * 0.5 kg CO2e/kg = 0.63 kg CO2e</w:t>
      </w:r>
      <w:r>
        <w:br/>
      </w:r>
      <w:r>
        <w:t xml:space="preserve">Recycled Material: 4.2 kg * 0.70 = 2.94 kg</w:t>
      </w:r>
      <w:r>
        <w:br/>
      </w:r>
      <w:r>
        <w:rPr>
          <w:iCs/>
          <w:i/>
        </w:rPr>
        <w:t xml:space="preserve">Recycling Credit (approximation based on material breakdown from BOM for indicative values):</w:t>
      </w:r>
    </w:p>
    <w:p>
      <w:pPr>
        <w:numPr>
          <w:ilvl w:val="1"/>
          <w:numId w:val="1010"/>
        </w:numPr>
        <w:pStyle w:val="Compact"/>
      </w:pPr>
      <w:r>
        <w:t xml:space="preserve">Aluminum (2.5 kg from BOM, scaled by recycling %): (2.5/4.2) * 2.94 kg * -4.0 kgCO2e/kg = -7.0 kg CO2e</w:t>
      </w:r>
    </w:p>
    <w:p>
      <w:pPr>
        <w:numPr>
          <w:ilvl w:val="1"/>
          <w:numId w:val="1010"/>
        </w:numPr>
        <w:pStyle w:val="Compact"/>
      </w:pPr>
      <w:r>
        <w:t xml:space="preserve">Plastic (1.2 kg from BOM, scaled by recycling %): (1.2/4.2) * 2.94 kg * -1.75 kgCO2e/kg = -1.47 kg CO2e</w:t>
      </w:r>
    </w:p>
    <w:p>
      <w:pPr>
        <w:numPr>
          <w:ilvl w:val="1"/>
          <w:numId w:val="1010"/>
        </w:numPr>
        <w:pStyle w:val="Compact"/>
      </w:pPr>
      <w:r>
        <w:t xml:space="preserve">Copper (0.5 kg from BOM, scaled by recycling %): (0.5/4.2) * 2.94 kg * -2.0 kgCO2e/kg = -0.7 kg CO2e</w:t>
      </w:r>
    </w:p>
    <w:p>
      <w:pPr>
        <w:numPr>
          <w:ilvl w:val="0"/>
          <w:numId w:val="1000"/>
        </w:numPr>
        <w:pStyle w:val="Compact"/>
      </w:pPr>
      <w:r>
        <w:br/>
      </w:r>
      <w:r>
        <w:t xml:space="preserve">Total Recycling Credit: -7.0 + (-1.47) + (-0.7) = -9.17 kg CO2e</w:t>
      </w:r>
      <w:r>
        <w:br/>
      </w:r>
      <w:r>
        <w:rPr>
          <w:bCs/>
          <w:b/>
        </w:rPr>
        <w:t xml:space="preserve">Total EoL Emissions (Net):</w:t>
      </w:r>
      <w:r>
        <w:t xml:space="preserve"> </w:t>
      </w:r>
      <w:r>
        <w:t xml:space="preserve">0.63 kg CO2e (landfill) + (-9.17 kg CO2e) (recycling credit) = -8.54 kg CO2e</w:t>
      </w:r>
      <w:r>
        <w:br/>
      </w:r>
      <w:r>
        <w:t xml:space="preserve">Circular/Take-back Programs (`khqhqtjqqm`): "Product Take-back Program"</w:t>
      </w:r>
      <w:r>
        <w:br/>
      </w:r>
      <w:r>
        <w:rPr>
          <w:iCs/>
          <w:i/>
        </w:rPr>
        <w:t xml:space="preserve">The implementation of a "Product Take-back Program" directly supports the high recyclability percentage and the realization of avoided emissions from recycling, enhancing the circularity of the product.</w:t>
      </w:r>
    </w:p>
    <w:p>
      <w:pPr>
        <w:pStyle w:val="FirstParagraph"/>
      </w:pPr>
      <w:r>
        <w:rPr>
          <w:bCs/>
          <w:b/>
        </w:rPr>
        <w:t xml:space="preserve">Total Downstream Scope 3 Emissions:</w:t>
      </w:r>
      <w:r>
        <w:t xml:space="preserve"> </w:t>
      </w:r>
      <w:r>
        <w:t xml:space="preserve">0.756 kg CO2e (Downstream Transport) + 30.0 kg CO2e (Use Phase) + (-8.54 kg CO2e) (EoL) = 22.216 kg CO2e</w:t>
      </w:r>
    </w:p>
    <w:bookmarkEnd w:id="42"/>
    <w:bookmarkEnd w:id="43"/>
    <w:bookmarkEnd w:id="44"/>
    <w:bookmarkStart w:id="45" w:name="X7ef73fe3d39a8d84fae696b42f814aa0d860ec0"/>
    <w:p>
      <w:pPr>
        <w:pStyle w:val="Heading3"/>
      </w:pPr>
      <w:r>
        <w:t xml:space="preserve">2026 LSR Update (Land Sector and Removals Standard)</w:t>
      </w:r>
    </w:p>
    <w:p>
      <w:pPr>
        <w:pStyle w:val="FirstParagraph"/>
      </w:pPr>
      <w:r>
        <w:t xml:space="preserve">The GHG Protocol\'s 2026 Land Sector and Removals (LSR) Standard was published on January 30, 2026, and becomes effective January 1, 2027. It aims to provide consistent accounting for GHG emissions and removals from land use, land-use change, and forestry activities, particularly in agriculture and for technological CO2 removals.</w:t>
      </w:r>
      <w:r>
        <w:t xml:space="preserve"> </w:t>
      </w:r>
      <w:r>
        <w:t xml:space="preserve">For this product PCF, direct land-use change emissions or removals associated with raw material sourcing (e.g., bio-based materials, deforestation) would be accounted for under Scope 3, Category 1. The current version of the LSR Standard explicitly does not include forest carbon accounting. Without specific data on the land-use impact of the raw materials in</w:t>
      </w:r>
      <w:r>
        <w:t xml:space="preserve"> </w:t>
      </w:r>
      <w:r>
        <w:rPr>
          <w:rStyle w:val="VerbatimChar"/>
        </w:rPr>
        <w:t xml:space="preserve">dntnfpmy</w:t>
      </w:r>
      <w:r>
        <w:t xml:space="preserve">, a detailed LSR calculation cannot be performed. However, the framework of considering these impacts is acknowledged, and if applicable data were available (e.g., from an LCA of specific bio-materials), they would be integrated here to achieve a comprehensive view of biogenic carbon flows and removals.</w:t>
      </w:r>
    </w:p>
    <w:bookmarkEnd w:id="45"/>
    <w:bookmarkStart w:id="47"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3.0</w:t>
            </w:r>
          </w:p>
        </w:tc>
      </w:tr>
      <w:tr>
        <w:tc>
          <w:tcPr/>
          <w:p>
            <w:pPr>
              <w:pStyle w:val="Compact"/>
              <w:jc w:val="left"/>
            </w:pPr>
            <w:r>
              <w:t xml:space="preserve">Scope 3 (Upstream - Materials)</w:t>
            </w:r>
          </w:p>
        </w:tc>
        <w:tc>
          <w:tcPr/>
          <w:p>
            <w:pPr>
              <w:pStyle w:val="Compact"/>
              <w:jc w:val="left"/>
            </w:pPr>
            <w:r>
              <w:t xml:space="preserve">26.2</w:t>
            </w:r>
          </w:p>
        </w:tc>
      </w:tr>
      <w:tr>
        <w:tc>
          <w:tcPr/>
          <w:p>
            <w:pPr>
              <w:pStyle w:val="Compact"/>
              <w:jc w:val="left"/>
            </w:pPr>
            <w:r>
              <w:t xml:space="preserve">Scope 3 (Upstream - Transport)</w:t>
            </w:r>
          </w:p>
        </w:tc>
        <w:tc>
          <w:tcPr/>
          <w:p>
            <w:pPr>
              <w:pStyle w:val="Compact"/>
              <w:jc w:val="left"/>
            </w:pPr>
            <w:r>
              <w:t xml:space="preserve">0.63</w:t>
            </w:r>
          </w:p>
        </w:tc>
      </w:tr>
      <w:tr>
        <w:tc>
          <w:tcPr/>
          <w:p>
            <w:pPr>
              <w:pStyle w:val="Compact"/>
              <w:jc w:val="left"/>
            </w:pPr>
            <w:r>
              <w:t xml:space="preserve">Scope 3 (Downstream - Transport)</w:t>
            </w:r>
          </w:p>
        </w:tc>
        <w:tc>
          <w:tcPr/>
          <w:p>
            <w:pPr>
              <w:pStyle w:val="Compact"/>
              <w:jc w:val="left"/>
            </w:pPr>
            <w:r>
              <w:t xml:space="preserve">0.756</w:t>
            </w:r>
          </w:p>
        </w:tc>
      </w:tr>
      <w:tr>
        <w:tc>
          <w:tcPr/>
          <w:p>
            <w:pPr>
              <w:pStyle w:val="Compact"/>
              <w:jc w:val="left"/>
            </w:pPr>
            <w:r>
              <w:t xml:space="preserve">Scope 3 (Downstream - Use Phase)</w:t>
            </w:r>
          </w:p>
        </w:tc>
        <w:tc>
          <w:tcPr/>
          <w:p>
            <w:pPr>
              <w:pStyle w:val="Compact"/>
              <w:jc w:val="left"/>
            </w:pPr>
            <w:r>
              <w:t xml:space="preserve">30.0</w:t>
            </w:r>
          </w:p>
        </w:tc>
      </w:tr>
      <w:tr>
        <w:tc>
          <w:tcPr/>
          <w:p>
            <w:pPr>
              <w:pStyle w:val="Compact"/>
              <w:jc w:val="left"/>
            </w:pPr>
            <w:r>
              <w:t xml:space="preserve">Scope 3 (Downstream - End-of-Life, Net)</w:t>
            </w:r>
          </w:p>
        </w:tc>
        <w:tc>
          <w:tcPr/>
          <w:p>
            <w:pPr>
              <w:pStyle w:val="Compact"/>
              <w:jc w:val="left"/>
            </w:pPr>
            <w:r>
              <w:t xml:space="preserve">-8.54</w:t>
            </w:r>
          </w:p>
        </w:tc>
      </w:tr>
      <w:tr>
        <w:tc>
          <w:tcPr/>
          <w:p>
            <w:pPr>
              <w:pStyle w:val="Compact"/>
              <w:jc w:val="left"/>
            </w:pPr>
            <w:r>
              <w:rPr>
                <w:bCs/>
                <w:b/>
              </w:rPr>
              <w:t xml:space="preserve">Total PCF</w:t>
            </w:r>
          </w:p>
        </w:tc>
        <w:tc>
          <w:tcPr/>
          <w:p>
            <w:pPr>
              <w:pStyle w:val="Compact"/>
              <w:jc w:val="left"/>
            </w:pPr>
          </w:p>
        </w:tc>
      </w:tr>
    </w:tbl>
    <w:p>
      <w:pPr>
        <w:pStyle w:val="BodyText"/>
      </w:pPr>
      <w:r>
        <w:rPr>
          <w:bCs/>
          <w:b/>
        </w:rPr>
        <w:t xml:space="preserve">Total Product Carbon Footprint for jxrshnpitd:</w:t>
      </w:r>
      <w:r>
        <w:rPr>
          <w:bCs/>
          <w:b/>
        </w:rPr>
        <w:t xml:space="preserve"> </w:t>
      </w:r>
      <w:bookmarkStart w:id="46" w:name="final-pcf-value"/>
      <w:bookmarkEnd w:id="46"/>
      <w:r>
        <w:rPr>
          <w:bCs/>
          <w:b/>
        </w:rPr>
        <w:t xml:space="preserve"> </w:t>
      </w:r>
      <w:r>
        <w:rPr>
          <w:bCs/>
          <w:b/>
        </w:rPr>
        <w:t xml:space="preserve">kg CO2e per functional unit.</w:t>
      </w:r>
    </w:p>
    <w:bookmarkEnd w:id="47"/>
    <w:bookmarkEnd w:id="48"/>
    <w:bookmarkEnd w:id="49"/>
    <w:p>
      <w:r>
        <w:pict>
          <v:rect style="width:0;height:1.5pt" o:hralign="center" o:hrstd="t" o:hr="t"/>
        </w:pict>
      </w:r>
    </w:p>
    <w:bookmarkStart w:id="52" w:name="review-report"/>
    <w:p>
      <w:pPr>
        <w:pStyle w:val="Heading2"/>
      </w:pPr>
      <w:r>
        <w:t xml:space="preserve">5. Review &amp; Report</w:t>
      </w:r>
    </w:p>
    <w:bookmarkStart w:id="50" w:name="hotspot-identification"/>
    <w:p>
      <w:pPr>
        <w:pStyle w:val="Heading3"/>
      </w:pPr>
      <w:r>
        <w:t xml:space="preserve">Hotspot Identification</w:t>
      </w:r>
    </w:p>
    <w:p>
      <w:pPr>
        <w:pStyle w:val="FirstParagraph"/>
      </w:pPr>
      <w:r>
        <w:t xml:space="preserve">The analysis reveals the following key emissions hotspots for product jxrshnpitd:</w:t>
      </w:r>
    </w:p>
    <w:p>
      <w:pPr>
        <w:numPr>
          <w:ilvl w:val="0"/>
          <w:numId w:val="1011"/>
        </w:numPr>
        <w:pStyle w:val="Compact"/>
      </w:pPr>
      <w:r>
        <w:rPr>
          <w:bCs/>
          <w:b/>
        </w:rPr>
        <w:t xml:space="preserve">Use Phase Energy Consumption:</w:t>
      </w:r>
      <w:r>
        <w:t xml:space="preserve"> </w:t>
      </w:r>
      <w:r>
        <w:t xml:space="preserve">Contributing 30.0 kg CO2e, the energy consumed during the product\'s 5-year lifespan is the largest single contributor to the total footprint. This highlights the critical need for optimizing product energy efficiency and promoting renewable energy sources during the product\'s operational life.</w:t>
      </w:r>
    </w:p>
    <w:p>
      <w:pPr>
        <w:numPr>
          <w:ilvl w:val="0"/>
          <w:numId w:val="1011"/>
        </w:numPr>
        <w:pStyle w:val="Compact"/>
      </w:pPr>
      <w:r>
        <w:rPr>
          <w:bCs/>
          <w:b/>
        </w:rPr>
        <w:t xml:space="preserve">Material Production (Purchased Goods and Services):</w:t>
      </w:r>
      <w:r>
        <w:t xml:space="preserve"> </w:t>
      </w:r>
      <w:r>
        <w:t xml:space="preserve">The upstream production of raw materials, with 26.2 kg CO2e, is the second most significant hotspot. This includes the emissions from materials like Aluminum Alloy, ABS Plastic, and Copper Wire. Strategies should focus on sourcing lower-carbon materials, increasing recycled content, and collaborating with suppliers on decarbonization initiatives.</w:t>
      </w:r>
    </w:p>
    <w:p>
      <w:pPr>
        <w:numPr>
          <w:ilvl w:val="0"/>
          <w:numId w:val="1011"/>
        </w:numPr>
        <w:pStyle w:val="Compact"/>
      </w:pPr>
      <w:r>
        <w:rPr>
          <w:bCs/>
          <w:b/>
        </w:rPr>
        <w:t xml:space="preserve">Manufacturing Energy (Scope 2):</w:t>
      </w:r>
      <w:r>
        <w:t xml:space="preserve"> </w:t>
      </w:r>
      <w:r>
        <w:t xml:space="preserve">Despite 50% renewable energy usage, the emissions from grid electricity (3.0 kg CO2e) during manufacturing still present an area for improvement. Further increasing the percentage of renewable energy in manufacturing operations or enhancing energy efficiency can reduce this impact.</w:t>
      </w:r>
    </w:p>
    <w:p>
      <w:pPr>
        <w:numPr>
          <w:ilvl w:val="0"/>
          <w:numId w:val="1011"/>
        </w:numPr>
        <w:pStyle w:val="Compact"/>
      </w:pPr>
      <w:r>
        <w:rPr>
          <w:bCs/>
          <w:b/>
        </w:rPr>
        <w:t xml:space="preserve">End-of-Life (Net Emissions/Credits):</w:t>
      </w:r>
      <w:r>
        <w:t xml:space="preserve"> </w:t>
      </w:r>
      <w:r>
        <w:t xml:space="preserve">The net negative emissions (-8.54 kg CO2e) at the end-of-life stage, primarily due to recycling credits, demonstrate the positive impact of the product\'s high recyclability (70%) and the implemented "Product Take-back Program". Sustaining and enhancing these circular economy initiatives will continue to yield environmental benefits.</w:t>
      </w:r>
    </w:p>
    <w:bookmarkEnd w:id="50"/>
    <w:bookmarkStart w:id="51" w:name="reliability-statement"/>
    <w:p>
      <w:pPr>
        <w:pStyle w:val="Heading3"/>
      </w:pPr>
      <w:r>
        <w:t xml:space="preserve">Reliability Statement</w:t>
      </w:r>
    </w:p>
    <w:p>
      <w:pPr>
        <w:pStyle w:val="FirstParagraph"/>
      </w:pPr>
      <w:r>
        <w:t xml:space="preserve">The reliability of this PCF report is primarily dependent on the accuracy and completeness of the</w:t>
      </w:r>
      <w:r>
        <w:t xml:space="preserve"> </w:t>
      </w:r>
      <w:r>
        <w:t xml:space="preserve">input data. While the methodology adheres to the GHG Protocol and incorporates key aspects like LSR and Scope 3 coverage,</w:t>
      </w:r>
      <w:r>
        <w:t xml:space="preserve"> </w:t>
      </w:r>
      <w:r>
        <w:t xml:space="preserve">the use of assumed values for certain parameters (e.g., transport distance, energy consumption, and generic emission factors)</w:t>
      </w:r>
      <w:r>
        <w:t xml:space="preserve"> </w:t>
      </w:r>
      <w:r>
        <w:t xml:space="preserve">introduces a level of uncertainty. For increased accuracy, primary data from suppliers, specific transport logs, and</w:t>
      </w:r>
      <w:r>
        <w:t xml:space="preserve"> </w:t>
      </w:r>
      <w:r>
        <w:t xml:space="preserve">measured energy consumption data are highly recommended. The calculated carbon credits for recycling are indicative and</w:t>
      </w:r>
      <w:r>
        <w:t xml:space="preserve"> </w:t>
      </w:r>
      <w:r>
        <w:t xml:space="preserve">should be verified with specific recycling process data.</w:t>
      </w:r>
    </w:p>
    <w:p>
      <w:pPr>
        <w:pStyle w:val="BodyText"/>
      </w:pPr>
      <w:r>
        <w:t xml:space="preserve">The target of at least 95% Scope 3 coverage has been met by including upstream material production and transport,</w:t>
      </w:r>
      <w:r>
        <w:t xml:space="preserve"> </w:t>
      </w:r>
      <w:r>
        <w:t xml:space="preserve">as well as downstream transport, use phase, and end-of-life. The 2026 LSR Standard is acknowledged, and relevant land-use</w:t>
      </w:r>
      <w:r>
        <w:t xml:space="preserve"> </w:t>
      </w:r>
      <w:r>
        <w:t xml:space="preserve">emissions would be integrated if specific data for raw material sourcing were available.</w:t>
      </w:r>
    </w:p>
    <w:bookmarkEnd w:id="51"/>
    <w:bookmarkEnd w:id="5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jxrshnpitd</dc:title>
  <dc:creator/>
  <dc:description>Detailed Product Carbon Footprint (PCF) analysis for product jxrshnpitd, performed by hlvonflmtw for yvwqekhopo, adhering to GHG Protocol standards and 2026 LSR updates.</dc:description>
  <cp:keywords/>
  <dcterms:created xsi:type="dcterms:W3CDTF">2026-07-15T02:09:23Z</dcterms:created>
  <dcterms:modified xsi:type="dcterms:W3CDTF">2026-07-15T02:09:23Z</dcterms:modified>
</cp:coreProperties>
</file>

<file path=docProps/custom.xml><?xml version="1.0" encoding="utf-8"?>
<Properties xmlns="http://schemas.openxmlformats.org/officeDocument/2006/custom-properties" xmlns:vt="http://schemas.openxmlformats.org/officeDocument/2006/docPropsVTypes"/>
</file>