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jttjfirine</w:t>
      </w:r>
    </w:p>
    <w:p>
      <w:pPr>
        <w:pStyle w:val="FirstParagraph"/>
      </w:pPr>
      <w:r>
        <w:t xml:space="preserve">carboncalcpcf.com</w:t>
      </w:r>
    </w:p>
    <w:bookmarkStart w:id="21" w:name="Xf2e6ab5be446359d80f42f50d41e46314dfe19d"/>
    <w:p>
      <w:pPr>
        <w:pStyle w:val="Heading1"/>
      </w:pPr>
      <w:r>
        <w:t xml:space="preserve">Product Carbon Footprint (PCF) Analysis Report</w:t>
      </w:r>
    </w:p>
    <w:bookmarkStart w:id="20" w:name="for-product-jttjfirine"/>
    <w:p>
      <w:pPr>
        <w:pStyle w:val="Heading2"/>
      </w:pPr>
      <w:r>
        <w:t xml:space="preserve">For Product: jttjfirine</w:t>
      </w:r>
    </w:p>
    <w:p>
      <w:pPr>
        <w:pStyle w:val="FirstParagraph"/>
      </w:pPr>
      <w:r>
        <w:rPr>
          <w:bCs/>
          <w:b/>
        </w:rPr>
        <w:t xml:space="preserve">Company Name:</w:t>
      </w:r>
      <w:r>
        <w:t xml:space="preserve"> </w:t>
      </w:r>
      <w:r>
        <w:t xml:space="preserve">fikttgzoyt</w:t>
      </w:r>
    </w:p>
    <w:p>
      <w:pPr>
        <w:pStyle w:val="BodyText"/>
      </w:pPr>
      <w:r>
        <w:rPr>
          <w:bCs/>
          <w:b/>
        </w:rPr>
        <w:t xml:space="preserve">Senior Sustainability Consultant:</w:t>
      </w:r>
      <w:r>
        <w:t xml:space="preserve"> </w:t>
      </w:r>
      <w:r>
        <w:t xml:space="preserve">shnxgelgyx</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For precise calculations, primary data collection and further detailed analysis would be required.</w:t>
      </w:r>
    </w:p>
    <w:bookmarkEnd w:id="20"/>
    <w:bookmarkEnd w:id="21"/>
    <w:bookmarkStart w:id="22" w:name="Xc62cb1f6e57bd1d43b1a5fae43a8e2877ec5c7f"/>
    <w:p>
      <w:pPr>
        <w:pStyle w:val="Heading1"/>
      </w:pPr>
      <w:r>
        <w:t xml:space="preserve">Product Carbon Footprint (PCF) Analysis Report</w:t>
      </w:r>
    </w:p>
    <w:p>
      <w:pPr>
        <w:pStyle w:val="FirstParagraph"/>
      </w:pPr>
      <w:r>
        <w:rPr>
          <w:bCs/>
          <w:b/>
        </w:rPr>
        <w:t xml:space="preserve">Product:</w:t>
      </w:r>
      <w:r>
        <w:t xml:space="preserve"> </w:t>
      </w:r>
      <w:r>
        <w:t xml:space="preserve">jttjfirine</w:t>
      </w:r>
    </w:p>
    <w:p>
      <w:pPr>
        <w:pStyle w:val="BodyText"/>
      </w:pPr>
      <w:r>
        <w:rPr>
          <w:bCs/>
          <w:b/>
        </w:rPr>
        <w:t xml:space="preserve">Generated Date:</w:t>
      </w:r>
      <w:r>
        <w:t xml:space="preserve"> </w:t>
      </w:r>
      <w:r>
        <w:t xml:space="preserve">June 2,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jttjfirine</w:t>
      </w:r>
      <w:r>
        <w:t xml:space="preserve">, manufactured by</w:t>
      </w:r>
      <w:r>
        <w:t xml:space="preserve"> </w:t>
      </w:r>
      <w:r>
        <w:rPr>
          <w:bCs/>
          <w:b/>
        </w:rPr>
        <w:t xml:space="preserve">fikttgzoyt</w:t>
      </w:r>
      <w:r>
        <w:t xml:space="preserve">. The analysis, conducted by Senior Sustainability Consultant</w:t>
      </w:r>
      <w:r>
        <w:t xml:space="preserve"> </w:t>
      </w:r>
      <w:r>
        <w:rPr>
          <w:bCs/>
          <w:b/>
        </w:rPr>
        <w:t xml:space="preserve">shnxgelgyx</w:t>
      </w:r>
      <w:r>
        <w:t xml:space="preserve">, adheres to the GHG Protocol and incorporates the 2026 Land Sector and Removals (LSR) Standard. The assessment covers the full lifecycle of the product from \'factory_gate\' to End-of-Life, focusing on a geographic scope of China for final production and Europe for the supply chain. Emissions are categorized into Scope 1, 2, and 3, ensuring at least 95% coverage for Scope 3 as per 2026 requirements. Key hotspots across the product\'s lifecycle have been identified, alongside recommendations for emissions reduction.</w:t>
      </w:r>
    </w:p>
    <w:p>
      <w:r>
        <w:pict>
          <v:rect style="width:0;height:1.5pt" o:hralign="center" o:hrstd="t" o:hr="t"/>
        </w:pict>
      </w:r>
    </w:p>
    <w:bookmarkEnd w:id="23"/>
    <w:bookmarkStart w:id="29" w:name="methodology-and-scope-definition"/>
    <w:p>
      <w:pPr>
        <w:pStyle w:val="Heading2"/>
      </w:pPr>
      <w:r>
        <w:t xml:space="preserve">1. Methodology and Scope Definition</w:t>
      </w:r>
    </w:p>
    <w:p>
      <w:pPr>
        <w:pStyle w:val="FirstParagraph"/>
      </w:pPr>
      <w:r>
        <w:t xml:space="preserve">The Product Carbon Footprint (PCF) analysis for jttjfirine follows a robust methodology aligned with the GHG Protocol Product Standard, ensuring comprehensive and accurate emissions quantification.</w:t>
      </w:r>
    </w:p>
    <w:bookmarkStart w:id="24"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The reference unit for this PCF study is 1.0 unit of jttjfirine. This unit serves as the basis for all calculations and comparisons, ensuring consistency and comparability across the product\'s lifecycle.</w:t>
      </w:r>
    </w:p>
    <w:p>
      <w:pPr>
        <w:numPr>
          <w:ilvl w:val="0"/>
          <w:numId w:val="1001"/>
        </w:numPr>
        <w:pStyle w:val="Compact"/>
      </w:pPr>
      <w:r>
        <w:rPr>
          <w:bCs/>
          <w:b/>
        </w:rPr>
        <w:t xml:space="preserve">System Boundary:</w:t>
      </w:r>
      <w:r>
        <w:t xml:space="preserve"> </w:t>
      </w:r>
      <w:r>
        <w:t xml:space="preserve">The system boundary for this analysis is defined as \'factory_gate\'. This encompasses all processes from raw material extraction, through manufacturing and assembly up to the point the finished product leaves the factory gate, including initial transportation. The full report, however, extends beyond \'factory_gate\' to include the use phase and end-of-life, providing a comprehensive "cradle-to-grave"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0"/>
        </w:numPr>
        <w:pStyle w:val="Compact"/>
      </w:pPr>
      <w:r>
        <w:t xml:space="preserve">This dual focus allows for consideration of region-specific emission factors for manufacturing in China and for upstream supply chain activities originating from Europe.</w:t>
      </w:r>
    </w:p>
    <w:p>
      <w:pPr>
        <w:numPr>
          <w:ilvl w:val="0"/>
          <w:numId w:val="1001"/>
        </w:numPr>
        <w:pStyle w:val="Compact"/>
      </w:pPr>
      <w:r>
        <w:rPr>
          <w:bCs/>
          <w:b/>
        </w:rPr>
        <w:t xml:space="preserve">Accounting Standard:</w:t>
      </w:r>
      <w:r>
        <w:t xml:space="preserve"> </w:t>
      </w:r>
      <w:r>
        <w:t xml:space="preserve">The analysis strictly adheres to the GHG Protocol Product Life Cycle Accounting and Reporting Standard. This ensures consistency, transparency, and comparability of the PCF results with other product assessments.</w:t>
      </w:r>
    </w:p>
    <w:p>
      <w:pPr>
        <w:numPr>
          <w:ilvl w:val="0"/>
          <w:numId w:val="1001"/>
        </w:numPr>
        <w:pStyle w:val="Compact"/>
      </w:pPr>
      <w:r>
        <w:rPr>
          <w:bCs/>
          <w:b/>
        </w:rPr>
        <w:t xml:space="preserve">Allocation:</w:t>
      </w:r>
      <w:r>
        <w:t xml:space="preserve"> </w:t>
      </w:r>
      <w:r>
        <w:t xml:space="preserve">Where co-products or waste streams are encountered, allocation methods (e.g., mass, economic, or physical) are applied consistently with GHG Protocol guidance to distribute environmental impacts appropriately across products and by-products.</w:t>
      </w:r>
    </w:p>
    <w:bookmarkEnd w:id="24"/>
    <w:bookmarkStart w:id="25" w:name="lifecycle-mapping-lci-inventory-stages"/>
    <w:p>
      <w:pPr>
        <w:pStyle w:val="Heading3"/>
      </w:pPr>
      <w:r>
        <w:t xml:space="preserve">1.2. Lifecycle Mapping (LCI Inventory Stages)</w:t>
      </w:r>
    </w:p>
    <w:p>
      <w:pPr>
        <w:pStyle w:val="FirstParagraph"/>
      </w:pPr>
      <w:r>
        <w:t xml:space="preserve">The lifecycle of jttjfirine is mapped into the following stages for a comprehensive Life Cycle Inventory (LCI):</w:t>
      </w:r>
    </w:p>
    <w:p>
      <w:pPr>
        <w:numPr>
          <w:ilvl w:val="0"/>
          <w:numId w:val="1003"/>
        </w:numPr>
        <w:pStyle w:val="Compact"/>
      </w:pPr>
      <w:r>
        <w:rPr>
          <w:bCs/>
          <w:b/>
        </w:rPr>
        <w:t xml:space="preserve">Material Acquisition &amp; Pre-processing:</w:t>
      </w:r>
      <w:r>
        <w:t xml:space="preserve"> </w:t>
      </w:r>
      <w:r>
        <w:t xml:space="preserve">Extraction, production, and initial processing of all raw materials (e.g., metals, plastics) comprising the Detailed Bill of Materials (BOM).</w:t>
      </w:r>
    </w:p>
    <w:p>
      <w:pPr>
        <w:numPr>
          <w:ilvl w:val="0"/>
          <w:numId w:val="1003"/>
        </w:numPr>
        <w:pStyle w:val="Compact"/>
      </w:pPr>
      <w:r>
        <w:rPr>
          <w:bCs/>
          <w:b/>
        </w:rPr>
        <w:t xml:space="preserve">Manufacturing &amp; Assembly:</w:t>
      </w:r>
      <w:r>
        <w:t xml:space="preserve"> </w:t>
      </w:r>
      <w:r>
        <w:t xml:space="preserve">Energy consumption, waste generation, and process emissions during the production and assembly of jttjfirine at the</w:t>
      </w:r>
      <w:r>
        <w:t xml:space="preserve"> </w:t>
      </w:r>
      <w:r>
        <w:rPr>
          <w:bCs/>
          <w:b/>
        </w:rPr>
        <w:t xml:space="preserve">fikttgzoyt</w:t>
      </w:r>
      <w:r>
        <w:t xml:space="preserve"> </w:t>
      </w:r>
      <w:r>
        <w:t xml:space="preserve">facility in China.</w:t>
      </w:r>
    </w:p>
    <w:p>
      <w:pPr>
        <w:numPr>
          <w:ilvl w:val="0"/>
          <w:numId w:val="1003"/>
        </w:numPr>
        <w:pStyle w:val="Compact"/>
      </w:pPr>
      <w:r>
        <w:rPr>
          <w:bCs/>
          <w:b/>
        </w:rPr>
        <w:t xml:space="preserve">Transportation:</w:t>
      </w:r>
      <w:r>
        <w:t xml:space="preserve"> </w:t>
      </w:r>
      <w:r>
        <w:t xml:space="preserve">Emissions from the transportation of raw materials and components from European suppliers to the manufacturing facility in China, and potentially to the distribution center (post-factory_gate).</w:t>
      </w:r>
    </w:p>
    <w:p>
      <w:pPr>
        <w:numPr>
          <w:ilvl w:val="0"/>
          <w:numId w:val="1003"/>
        </w:numPr>
        <w:pStyle w:val="Compact"/>
      </w:pPr>
      <w:r>
        <w:rPr>
          <w:bCs/>
          <w:b/>
        </w:rPr>
        <w:t xml:space="preserve">Use Phase:</w:t>
      </w:r>
      <w:r>
        <w:t xml:space="preserve"> </w:t>
      </w:r>
      <w:r>
        <w:t xml:space="preserve">Energy consumption and associated emissions during the product\'s intended lifespan by the end-user.</w:t>
      </w:r>
    </w:p>
    <w:p>
      <w:pPr>
        <w:numPr>
          <w:ilvl w:val="0"/>
          <w:numId w:val="1003"/>
        </w:numPr>
        <w:pStyle w:val="Compact"/>
      </w:pPr>
      <w:r>
        <w:rPr>
          <w:bCs/>
          <w:b/>
        </w:rPr>
        <w:t xml:space="preserve">End-of-Life (EoL):</w:t>
      </w:r>
      <w:r>
        <w:t xml:space="preserve"> </w:t>
      </w:r>
      <w:r>
        <w:t xml:space="preserve">Emissions associated with disposal, recycling, or recovery processes at the end of the product\'s lifespan.</w:t>
      </w:r>
    </w:p>
    <w:bookmarkEnd w:id="25"/>
    <w:bookmarkStart w:id="26" w:name="X7b6d01ce7b6bfe45f00681616505557cddf238f"/>
    <w:p>
      <w:pPr>
        <w:pStyle w:val="Heading3"/>
      </w:pPr>
      <w:r>
        <w:t xml:space="preserve">1.3. Data Collection (Primary/Secondary Data Points)</w:t>
      </w:r>
    </w:p>
    <w:p>
      <w:pPr>
        <w:pStyle w:val="FirstParagraph"/>
      </w:pPr>
      <w:r>
        <w:t xml:space="preserve">Data for the PCF analysis is collected from both primary and secondary sources:</w:t>
      </w:r>
    </w:p>
    <w:p>
      <w:pPr>
        <w:numPr>
          <w:ilvl w:val="0"/>
          <w:numId w:val="1004"/>
        </w:numPr>
        <w:pStyle w:val="Compact"/>
      </w:pPr>
      <w:r>
        <w:rPr>
          <w:bCs/>
          <w:b/>
        </w:rPr>
        <w:t xml:space="preserve">Primary Data:</w:t>
      </w:r>
      <w:r>
        <w:t xml:space="preserve"> </w:t>
      </w:r>
      <w:r>
        <w:t xml:space="preserve">Provided parameters including the Detailed Bill of Materials (BOM), energy consumption in manufacturing, renewable energy usage, product lifespan, energy consumption in use, recyclability percentage, and details on circular programs.</w:t>
      </w:r>
    </w:p>
    <w:p>
      <w:pPr>
        <w:numPr>
          <w:ilvl w:val="0"/>
          <w:numId w:val="1004"/>
        </w:numPr>
        <w:pStyle w:val="Compact"/>
      </w:pPr>
      <w:r>
        <w:rPr>
          <w:bCs/>
          <w:b/>
        </w:rPr>
        <w:t xml:space="preserve">Secondary Data:</w:t>
      </w:r>
      <w:r>
        <w:t xml:space="preserve"> </w:t>
      </w:r>
      <w:r>
        <w:t xml:space="preserve">Industry-standard emission factors from reputable databases are utilized for processes where primary data is unavailable or for generic material and energy production. Geographic specificity is applied where possible (e.g., China grid mix for manufacturing).</w:t>
      </w:r>
    </w:p>
    <w:p>
      <w:pPr>
        <w:pStyle w:val="FirstParagraph"/>
      </w:pPr>
      <w:r>
        <w:rPr>
          <w:bCs/>
          <w:b/>
        </w:rPr>
        <w:t xml:space="preserve">Specific Data Points Incorporated:</w:t>
      </w:r>
    </w:p>
    <w:p>
      <w:pPr>
        <w:numPr>
          <w:ilvl w:val="0"/>
          <w:numId w:val="1005"/>
        </w:numPr>
        <w:pStyle w:val="Compact"/>
      </w:pPr>
      <w:r>
        <w:rPr>
          <w:bCs/>
          <w:b/>
        </w:rPr>
        <w:t xml:space="preserve">Detailed Bill of Materials (BOM):</w:t>
      </w:r>
      <w:r>
        <w:t xml:space="preserve"> </w:t>
      </w:r>
      <w:r>
        <w:t xml:space="preserve">"1,Steel,Metal,Extrusion,10,kg,2.5,25;2,Plastic,Polymer,Molding,0.2,kg,3.0,0.6;3,Copper,Metal,Drawing,0.1,kg,2.0,0.2;4,Electronics,Mixed,Assembly,0.05,kg,20.0,1.0" (used for high-accuracy material impact calculation).</w:t>
      </w:r>
    </w:p>
    <w:p>
      <w:pPr>
        <w:numPr>
          <w:ilvl w:val="0"/>
          <w:numId w:val="1005"/>
        </w:numPr>
        <w:pStyle w:val="Compact"/>
      </w:pPr>
      <w:r>
        <w:rPr>
          <w:bCs/>
          <w:b/>
        </w:rPr>
        <w:t xml:space="preserve">Transport Mode:</w:t>
      </w:r>
      <w:r>
        <w:t xml:space="preserve"> </w:t>
      </w:r>
      <w:r>
        <w:t xml:space="preserve">"Road freight (HGV - placeholder)".</w:t>
      </w:r>
    </w:p>
    <w:p>
      <w:pPr>
        <w:numPr>
          <w:ilvl w:val="0"/>
          <w:numId w:val="1005"/>
        </w:numPr>
        <w:pStyle w:val="Compact"/>
      </w:pPr>
      <w:r>
        <w:rPr>
          <w:bCs/>
          <w:b/>
        </w:rPr>
        <w:t xml:space="preserve">Transport Distance:</w:t>
      </w:r>
      <w:r>
        <w:t xml:space="preserve"> </w:t>
      </w:r>
      <w:r>
        <w:t xml:space="preserve">"10,000 km (placeholder)".</w:t>
      </w:r>
    </w:p>
    <w:p>
      <w:pPr>
        <w:numPr>
          <w:ilvl w:val="0"/>
          <w:numId w:val="1005"/>
        </w:numPr>
        <w:pStyle w:val="Compact"/>
      </w:pPr>
      <w:r>
        <w:rPr>
          <w:bCs/>
          <w:b/>
        </w:rPr>
        <w:t xml:space="preserve">Last-Mile Delivery Channel:</w:t>
      </w:r>
      <w:r>
        <w:t xml:space="preserve"> </w:t>
      </w:r>
      <w:r>
        <w:t xml:space="preserve">"Courier service (placeholder)".</w:t>
      </w:r>
    </w:p>
    <w:p>
      <w:pPr>
        <w:numPr>
          <w:ilvl w:val="0"/>
          <w:numId w:val="1005"/>
        </w:numPr>
        <w:pStyle w:val="Compact"/>
      </w:pPr>
      <w:r>
        <w:rPr>
          <w:bCs/>
          <w:b/>
        </w:rPr>
        <w:t xml:space="preserve">Renewable Energy Usage:</w:t>
      </w:r>
      <w:r>
        <w:t xml:space="preserve"> </w:t>
      </w:r>
      <w:r>
        <w:t xml:space="preserve">60%.</w:t>
      </w:r>
    </w:p>
    <w:p>
      <w:pPr>
        <w:numPr>
          <w:ilvl w:val="0"/>
          <w:numId w:val="1005"/>
        </w:numPr>
        <w:pStyle w:val="Compact"/>
      </w:pPr>
      <w:r>
        <w:rPr>
          <w:bCs/>
          <w:b/>
        </w:rPr>
        <w:t xml:space="preserve">Energy Intensity (kWh/unit):</w:t>
      </w:r>
      <w:r>
        <w:t xml:space="preserve"> </w:t>
      </w:r>
      <w:r>
        <w:t xml:space="preserve">5 kWh/unit.</w:t>
      </w:r>
    </w:p>
    <w:p>
      <w:pPr>
        <w:numPr>
          <w:ilvl w:val="0"/>
          <w:numId w:val="1005"/>
        </w:numPr>
        <w:pStyle w:val="Compact"/>
      </w:pPr>
      <w:r>
        <w:rPr>
          <w:bCs/>
          <w:b/>
        </w:rPr>
        <w:t xml:space="preserve">Product Lifespan:</w:t>
      </w:r>
      <w:r>
        <w:t xml:space="preserve"> </w:t>
      </w:r>
      <w:r>
        <w:t xml:space="preserve">5 years.</w:t>
      </w:r>
    </w:p>
    <w:p>
      <w:pPr>
        <w:numPr>
          <w:ilvl w:val="0"/>
          <w:numId w:val="1005"/>
        </w:numPr>
        <w:pStyle w:val="Compact"/>
      </w:pPr>
      <w:r>
        <w:rPr>
          <w:bCs/>
          <w:b/>
        </w:rPr>
        <w:t xml:space="preserve">Energy Consumption in Use:</w:t>
      </w:r>
      <w:r>
        <w:t xml:space="preserve"> </w:t>
      </w:r>
      <w:r>
        <w:t xml:space="preserve">100 kWh.</w:t>
      </w:r>
    </w:p>
    <w:p>
      <w:pPr>
        <w:numPr>
          <w:ilvl w:val="0"/>
          <w:numId w:val="1005"/>
        </w:numPr>
        <w:pStyle w:val="Compact"/>
      </w:pPr>
      <w:r>
        <w:rPr>
          <w:bCs/>
          <w:b/>
        </w:rPr>
        <w:t xml:space="preserve">Recyclability Percentage:</w:t>
      </w:r>
      <w:r>
        <w:t xml:space="preserve"> </w:t>
      </w:r>
      <w:r>
        <w:t xml:space="preserve">80%.</w:t>
      </w:r>
    </w:p>
    <w:p>
      <w:pPr>
        <w:numPr>
          <w:ilvl w:val="0"/>
          <w:numId w:val="1005"/>
        </w:numPr>
        <w:pStyle w:val="Compact"/>
      </w:pPr>
      <w:r>
        <w:rPr>
          <w:bCs/>
          <w:b/>
        </w:rPr>
        <w:t xml:space="preserve">Circular/Take-back Programs:</w:t>
      </w:r>
      <w:r>
        <w:t xml:space="preserve"> </w:t>
      </w:r>
      <w:r>
        <w:t xml:space="preserve">"Robust take-back and material reprocessing scheme".</w:t>
      </w:r>
    </w:p>
    <w:bookmarkEnd w:id="26"/>
    <w:bookmarkStart w:id="27" w:name="Xdd1c2ba429305467bad58a0828410d9d0fce25c"/>
    <w:p>
      <w:pPr>
        <w:pStyle w:val="Heading3"/>
      </w:pPr>
      <w:r>
        <w:t xml:space="preserve">1.4. Emissions Calculation (Activity * Emission Factor = CO2e)</w:t>
      </w:r>
    </w:p>
    <w:p>
      <w:pPr>
        <w:pStyle w:val="FirstParagraph"/>
      </w:pPr>
      <w:r>
        <w:t xml:space="preserve">Emissions are calculated by multiplying activity data (e.g., quantity of material, energy consumed, distance travelled) by relevant emission factors (EFs). All emissions are expressed in carbon dioxide equivalents (CO2e).</w:t>
      </w:r>
    </w:p>
    <w:p>
      <w:pPr>
        <w:numPr>
          <w:ilvl w:val="0"/>
          <w:numId w:val="1006"/>
        </w:numPr>
        <w:pStyle w:val="Compact"/>
      </w:pPr>
      <w:r>
        <w:rPr>
          <w:bCs/>
          <w:b/>
        </w:rPr>
        <w:t xml:space="preserve">GHG Protocol Adherence:</w:t>
      </w:r>
      <w:r>
        <w:t xml:space="preserve"> </w:t>
      </w:r>
      <w:r>
        <w:t xml:space="preserve">Emissions are categorized into:</w:t>
      </w:r>
    </w:p>
    <w:p>
      <w:pPr>
        <w:numPr>
          <w:ilvl w:val="1"/>
          <w:numId w:val="1007"/>
        </w:numPr>
        <w:pStyle w:val="Compact"/>
      </w:pPr>
      <w:r>
        <w:rPr>
          <w:bCs/>
          <w:b/>
        </w:rPr>
        <w:t xml:space="preserve">Scope 1 (Direct Emissions):</w:t>
      </w:r>
      <w:r>
        <w:t xml:space="preserve"> </w:t>
      </w:r>
      <w:r>
        <w:t xml:space="preserve">From sources owned or controlled by</w:t>
      </w:r>
      <w:r>
        <w:t xml:space="preserve"> </w:t>
      </w:r>
      <w:r>
        <w:rPr>
          <w:bCs/>
          <w:b/>
        </w:rPr>
        <w:t xml:space="preserve">fikttgzoyt</w:t>
      </w:r>
      <w:r>
        <w:t xml:space="preserve"> </w:t>
      </w:r>
      <w:r>
        <w:t xml:space="preserve">(e.g., on-site fuel combustion). Given the \'factory_gate\' boundary focus for direct emissions, these would typically relate to manufacturing processes.</w:t>
      </w:r>
    </w:p>
    <w:p>
      <w:pPr>
        <w:numPr>
          <w:ilvl w:val="1"/>
          <w:numId w:val="1007"/>
        </w:numPr>
        <w:pStyle w:val="Compact"/>
      </w:pPr>
      <w:r>
        <w:rPr>
          <w:bCs/>
          <w:b/>
        </w:rPr>
        <w:t xml:space="preserve">Scope 2 (Indirect Emissions from Purchased Energy):</w:t>
      </w:r>
      <w:r>
        <w:t xml:space="preserve"> </w:t>
      </w:r>
      <w:r>
        <w:t xml:space="preserve">From the generation of purchased electricity, steam, heating, and cooling consumed by</w:t>
      </w:r>
      <w:r>
        <w:t xml:space="preserve"> </w:t>
      </w:r>
      <w:r>
        <w:rPr>
          <w:bCs/>
          <w:b/>
        </w:rPr>
        <w:t xml:space="preserve">fikttgzoyt</w:t>
      </w:r>
      <w:r>
        <w:t xml:space="preserve"> </w:t>
      </w:r>
      <w:r>
        <w:t xml:space="preserve">during manufacturing.</w:t>
      </w:r>
    </w:p>
    <w:p>
      <w:pPr>
        <w:numPr>
          <w:ilvl w:val="1"/>
          <w:numId w:val="1007"/>
        </w:numPr>
        <w:pStyle w:val="Compact"/>
      </w:pPr>
      <w:r>
        <w:rPr>
          <w:bCs/>
          <w:b/>
        </w:rPr>
        <w:t xml:space="preserve">Scope 3 (Other Indirect Emissions - Value Chain):</w:t>
      </w:r>
      <w:r>
        <w:t xml:space="preserve"> </w:t>
      </w:r>
      <w:r>
        <w:t xml:space="preserve">All other indirect emissions occurring in the value chain, both upstream and downstream. This includes material extraction, transport, use phase, and end-of-life.</w:t>
      </w:r>
    </w:p>
    <w:p>
      <w:pPr>
        <w:numPr>
          <w:ilvl w:val="0"/>
          <w:numId w:val="1006"/>
        </w:numPr>
        <w:pStyle w:val="Compact"/>
      </w:pPr>
      <w:r>
        <w:rPr>
          <w:bCs/>
          <w:b/>
        </w:rPr>
        <w:t xml:space="preserve">2026 LSR Update:</w:t>
      </w:r>
      <w:r>
        <w:t xml:space="preserve"> </w:t>
      </w:r>
      <w:r>
        <w:t xml:space="preserve">The Land Sector and Removals (LSR) Standard is applied to account for greenhouse gas fluxes from land use and land-use change, as well as carbon removals (e.g., through bio-based materials or carbon capture), where relevant data is available. Given the product focus, this primarily influences upstream material impacts or potential bio-based materials.</w:t>
      </w:r>
    </w:p>
    <w:p>
      <w:pPr>
        <w:numPr>
          <w:ilvl w:val="0"/>
          <w:numId w:val="1006"/>
        </w:numPr>
        <w:pStyle w:val="Compact"/>
      </w:pPr>
      <w:r>
        <w:rPr>
          <w:bCs/>
          <w:b/>
        </w:rPr>
        <w:t xml:space="preserve">Scope 3 Compliance:</w:t>
      </w:r>
      <w:r>
        <w:t xml:space="preserve"> </w:t>
      </w:r>
      <w:r>
        <w:t xml:space="preserve">Every effort is made to ensure at least 95% coverage for Scope 3 reporting, as mandated by 2026 requirements, by including all relevant upstream and downstream categories.</w:t>
      </w:r>
    </w:p>
    <w:bookmarkEnd w:id="27"/>
    <w:bookmarkStart w:id="28" w:name="review-report"/>
    <w:p>
      <w:pPr>
        <w:pStyle w:val="Heading3"/>
      </w:pPr>
      <w:r>
        <w:t xml:space="preserve">1.5. Review &amp; Report</w:t>
      </w:r>
    </w:p>
    <w:p>
      <w:pPr>
        <w:pStyle w:val="FirstParagraph"/>
      </w:pPr>
      <w:r>
        <w:t xml:space="preserve">The calculated PCF results are reviewed for accuracy and consistency. Key emission hotspots are identified, and the reliability of the underlying data is assessed. This report summarizes these findings and provides actionable insights.</w:t>
      </w:r>
    </w:p>
    <w:p>
      <w:r>
        <w:pict>
          <v:rect style="width:0;height:1.5pt" o:hralign="center" o:hrstd="t" o:hr="t"/>
        </w:pict>
      </w:r>
    </w:p>
    <w:bookmarkEnd w:id="28"/>
    <w:bookmarkEnd w:id="29"/>
    <w:bookmarkStart w:id="36" w:name="Xc0337c67c0b53576ef6a4b5e7b41996c1807992"/>
    <w:p>
      <w:pPr>
        <w:pStyle w:val="Heading2"/>
      </w:pPr>
      <w:r>
        <w:t xml:space="preserve">2. Detailed Product Carbon Footprint Analysis for jttjfirine</w:t>
      </w:r>
    </w:p>
    <w:bookmarkStart w:id="30" w:name="X28cd94f03f5996034f934b162ab9583ec9d746e"/>
    <w:p>
      <w:pPr>
        <w:pStyle w:val="Heading3"/>
      </w:pPr>
      <w:r>
        <w:t xml:space="preserve">2.1. Bill of Materials (BOM) and Material Acquisition Impact (Scope 3 - Upstream)</w:t>
      </w:r>
    </w:p>
    <w:p>
      <w:pPr>
        <w:pStyle w:val="FirstParagraph"/>
      </w:pPr>
      <w:r>
        <w:t xml:space="preserve">The following table details the Bill of Materials (BOM) for</w:t>
      </w:r>
      <w:r>
        <w:t xml:space="preserve"> </w:t>
      </w:r>
      <w:r>
        <w:rPr>
          <w:bCs/>
          <w:b/>
        </w:rPr>
        <w:t xml:space="preserve">jttjfirine</w:t>
      </w:r>
      <w:r>
        <w:t xml:space="preserve">, along with their respective carbon impacts. The \'Total Carbon\' value for each material, as provided in the input, directly contributes to the overall material acquisition footprint. This represents a high-accuracy material impact calculation, overriding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10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Plastic</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Copper</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w:t>
            </w:r>
          </w:p>
        </w:tc>
      </w:tr>
      <w:tr>
        <w:tc>
          <w:tcPr/>
          <w:p>
            <w:pPr>
              <w:pStyle w:val="Compact"/>
              <w:jc w:val="left"/>
            </w:pPr>
            <w:r>
              <w:t xml:space="preserve">4</w:t>
            </w:r>
          </w:p>
        </w:tc>
        <w:tc>
          <w:tcPr/>
          <w:p>
            <w:pPr>
              <w:pStyle w:val="Compact"/>
              <w:jc w:val="left"/>
            </w:pPr>
            <w:r>
              <w:t xml:space="preserve">Electronics</w:t>
            </w:r>
          </w:p>
        </w:tc>
        <w:tc>
          <w:tcPr/>
          <w:p>
            <w:pPr>
              <w:pStyle w:val="Compact"/>
              <w:jc w:val="left"/>
            </w:pPr>
            <w:r>
              <w:t xml:space="preserve">Mixed</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w:t>
            </w:r>
          </w:p>
        </w:tc>
      </w:tr>
    </w:tbl>
    <w:p>
      <w:pPr>
        <w:pStyle w:val="BodyText"/>
      </w:pPr>
      <w:r>
        <w:rPr>
          <w:bCs/>
          <w:b/>
        </w:rPr>
        <w:t xml:space="preserve">Total Material Acquisition Footprint:</w:t>
      </w:r>
      <w:r>
        <w:t xml:space="preserve"> </w:t>
      </w:r>
      <w:r>
        <w:t xml:space="preserve">26.8 kg CO2e</w:t>
      </w:r>
    </w:p>
    <w:bookmarkEnd w:id="30"/>
    <w:bookmarkStart w:id="31" w:name="X9f8f693f64998fff68194e0774639ca87019e29"/>
    <w:p>
      <w:pPr>
        <w:pStyle w:val="Heading3"/>
      </w:pPr>
      <w:r>
        <w:t xml:space="preserve">2.2. Manufacturing and Assembly Impact (Scope 1 &amp; 2)</w:t>
      </w:r>
    </w:p>
    <w:p>
      <w:pPr>
        <w:pStyle w:val="FirstParagraph"/>
      </w:pPr>
      <w:r>
        <w:t xml:space="preserve">The manufacturing process at</w:t>
      </w:r>
      <w:r>
        <w:t xml:space="preserve"> </w:t>
      </w:r>
      <w:r>
        <w:rPr>
          <w:bCs/>
          <w:b/>
        </w:rPr>
        <w:t xml:space="preserve">fikttgzoyt</w:t>
      </w:r>
      <w:r>
        <w:t xml:space="preserve"> </w:t>
      </w:r>
      <w:r>
        <w:t xml:space="preserve">in China is assessed based on energy intensity and renewable energy usage.</w:t>
      </w:r>
    </w:p>
    <w:p>
      <w:pPr>
        <w:numPr>
          <w:ilvl w:val="0"/>
          <w:numId w:val="1008"/>
        </w:numPr>
        <w:pStyle w:val="Compact"/>
      </w:pPr>
      <w:r>
        <w:rPr>
          <w:bCs/>
          <w:b/>
        </w:rPr>
        <w:t xml:space="preserve">Energy Intensity (kWh/unit):</w:t>
      </w:r>
      <w:r>
        <w:t xml:space="preserve"> </w:t>
      </w:r>
      <w:r>
        <w:t xml:space="preserve">5 kWh/unit</w:t>
      </w:r>
    </w:p>
    <w:p>
      <w:pPr>
        <w:numPr>
          <w:ilvl w:val="0"/>
          <w:numId w:val="1008"/>
        </w:numPr>
        <w:pStyle w:val="Compact"/>
      </w:pPr>
      <w:r>
        <w:rPr>
          <w:bCs/>
          <w:b/>
        </w:rPr>
        <w:t xml:space="preserve">Renewable Energy Usage:</w:t>
      </w:r>
      <w:r>
        <w:t xml:space="preserve"> </w:t>
      </w:r>
      <w:r>
        <w:t xml:space="preserve">60%</w:t>
      </w:r>
    </w:p>
    <w:p>
      <w:pPr>
        <w:pStyle w:val="FirstParagraph"/>
      </w:pPr>
      <w:r>
        <w:t xml:space="preserve">The national average grid emission factor for China in 2023 is used for the non-renewable portion of electricity consumption.</w:t>
      </w:r>
    </w:p>
    <w:p>
      <w:pPr>
        <w:pStyle w:val="BodyText"/>
      </w:pPr>
      <w:r>
        <w:rPr>
          <w:bCs/>
          <w:b/>
        </w:rPr>
        <w:t xml:space="preserve">Assumed China Grid Emission Factor:</w:t>
      </w:r>
      <w:r>
        <w:t xml:space="preserve"> </w:t>
      </w:r>
      <w:r>
        <w:t xml:space="preserve">0.6205 kg CO2e/kWh</w:t>
      </w:r>
    </w:p>
    <w:p>
      <w:pPr>
        <w:pStyle w:val="BodyText"/>
      </w:pPr>
      <w:r>
        <w:rPr>
          <w:bCs/>
          <w:b/>
        </w:rPr>
        <w:t xml:space="preserve">Non-Renewable Energy Consumption:</w:t>
      </w:r>
      <w:r>
        <w:t xml:space="preserve"> </w:t>
      </w:r>
      <w:r>
        <w:t xml:space="preserve">5 kWh/unit * (1 - (60 / 100)) = 2 kWh/unit</w:t>
      </w:r>
    </w:p>
    <w:p>
      <w:pPr>
        <w:pStyle w:val="BodyText"/>
      </w:pPr>
      <w:r>
        <w:rPr>
          <w:bCs/>
          <w:b/>
        </w:rPr>
        <w:t xml:space="preserve">Manufacturing Emissions (Scope 2):</w:t>
      </w:r>
      <w:r>
        <w:t xml:space="preserve"> </w:t>
      </w:r>
      <w:r>
        <w:t xml:space="preserve">2 kWh/unit * 0.6205 kg CO2e/kWh = 1.241 kg CO2e</w:t>
      </w:r>
    </w:p>
    <w:p>
      <w:pPr>
        <w:pStyle w:val="BodyText"/>
      </w:pPr>
      <w:r>
        <w:t xml:space="preserve">Any direct on-site fuel combustion would contribute to Scope 1 emissions, which are assumed to be negligible or covered within general energy intensity for this level of detail without specific fuel type information.</w:t>
      </w:r>
    </w:p>
    <w:bookmarkEnd w:id="31"/>
    <w:bookmarkStart w:id="32" w:name="X0347ac41b399cd602782f59d9ec9610c62fe870"/>
    <w:p>
      <w:pPr>
        <w:pStyle w:val="Heading3"/>
      </w:pPr>
      <w:r>
        <w:t xml:space="preserve">2.3. Transportation Impact (Scope 3 - Upstream &amp; Downstream)</w:t>
      </w:r>
    </w:p>
    <w:p>
      <w:pPr>
        <w:pStyle w:val="FirstParagraph"/>
      </w:pPr>
      <w:r>
        <w:t xml:space="preserve">Transportation emissions are a critical component of Scope 3, covering both inbound logistics (raw materials from Europe to China) and outbound logistics.</w:t>
      </w:r>
    </w:p>
    <w:p>
      <w:pPr>
        <w:numPr>
          <w:ilvl w:val="0"/>
          <w:numId w:val="1009"/>
        </w:numPr>
        <w:pStyle w:val="Compact"/>
      </w:pPr>
      <w:r>
        <w:rPr>
          <w:bCs/>
          <w:b/>
        </w:rPr>
        <w:t xml:space="preserve">Inbound Transport Mode:</w:t>
      </w:r>
      <w:r>
        <w:t xml:space="preserve"> </w:t>
      </w:r>
      <w:r>
        <w:t xml:space="preserve">Road freight (HGV - placeholder)</w:t>
      </w:r>
    </w:p>
    <w:p>
      <w:pPr>
        <w:numPr>
          <w:ilvl w:val="0"/>
          <w:numId w:val="1009"/>
        </w:numPr>
        <w:pStyle w:val="Compact"/>
      </w:pPr>
      <w:r>
        <w:rPr>
          <w:bCs/>
          <w:b/>
        </w:rPr>
        <w:t xml:space="preserve">Inbound Transport Distance:</w:t>
      </w:r>
      <w:r>
        <w:t xml:space="preserve"> </w:t>
      </w:r>
      <w:r>
        <w:t xml:space="preserve">10,000 km (placeholder)</w:t>
      </w:r>
    </w:p>
    <w:p>
      <w:pPr>
        <w:numPr>
          <w:ilvl w:val="0"/>
          <w:numId w:val="1009"/>
        </w:numPr>
        <w:pStyle w:val="Compact"/>
      </w:pPr>
      <w:r>
        <w:rPr>
          <w:bCs/>
          <w:b/>
        </w:rPr>
        <w:t xml:space="preserve">Last-Mile Delivery Channel:</w:t>
      </w:r>
      <w:r>
        <w:t xml:space="preserve"> </w:t>
      </w:r>
      <w:r>
        <w:t xml:space="preserve">Courier service (placeholder)</w:t>
      </w:r>
    </w:p>
    <w:p>
      <w:pPr>
        <w:pStyle w:val="FirstParagraph"/>
      </w:pPr>
      <w:r>
        <w:t xml:space="preserve">Given the unspecified nature of the actual transport mode, distance, and delivery type for all stages, specific calculations are not possible. For a real assessment, precise modes (e.g., container ship, rail, road, air freight) and their respective distances and utilization rates would be crucial. Therefore, this section is currently a placeholder for quantitative assessment.</w:t>
      </w:r>
    </w:p>
    <w:p>
      <w:pPr>
        <w:pStyle w:val="BodyText"/>
      </w:pPr>
      <w:r>
        <w:rPr>
          <w:bCs/>
          <w:b/>
        </w:rPr>
        <w:t xml:space="preserve">Transport Emissions (Estimated):</w:t>
      </w:r>
      <w:r>
        <w:t xml:space="preserve"> </w:t>
      </w:r>
      <w:r>
        <w:t xml:space="preserve">N/A (Placeholder due to unspecified data)</w:t>
      </w:r>
    </w:p>
    <w:p>
      <w:pPr>
        <w:pStyle w:val="BodyText"/>
      </w:pPr>
      <w:r>
        <w:rPr>
          <w:iCs/>
          <w:i/>
        </w:rPr>
        <w:t xml:space="preserve">Note: Accurate transport calculations require specific modes, distances, and freight efficiencies. The provided parameters (\'Road freight (HGV - placeholder)\', \'10,000 km (placeholder)\', \'Courier service (placeholder)\') prevent a precise quantitative assessment at this stage.</w:t>
      </w:r>
    </w:p>
    <w:bookmarkEnd w:id="32"/>
    <w:bookmarkStart w:id="33" w:name="use-phase-impact-scope-3---downstream"/>
    <w:p>
      <w:pPr>
        <w:pStyle w:val="Heading3"/>
      </w:pPr>
      <w:r>
        <w:t xml:space="preserve">2.4. Use Phase Impact (Scope 3 - Downstream)</w:t>
      </w:r>
    </w:p>
    <w:p>
      <w:pPr>
        <w:pStyle w:val="FirstParagraph"/>
      </w:pPr>
      <w:r>
        <w:t xml:space="preserve">The use phase impact is determined by the product\'s lifespan and its energy consumption during use.</w:t>
      </w:r>
    </w:p>
    <w:p>
      <w:pPr>
        <w:numPr>
          <w:ilvl w:val="0"/>
          <w:numId w:val="1010"/>
        </w:numPr>
        <w:pStyle w:val="Compact"/>
      </w:pPr>
      <w:r>
        <w:rPr>
          <w:bCs/>
          <w:b/>
        </w:rPr>
        <w:t xml:space="preserve">Product Lifespan:</w:t>
      </w:r>
      <w:r>
        <w:t xml:space="preserve"> </w:t>
      </w:r>
      <w:r>
        <w:t xml:space="preserve">5 years</w:t>
      </w:r>
    </w:p>
    <w:p>
      <w:pPr>
        <w:numPr>
          <w:ilvl w:val="0"/>
          <w:numId w:val="1010"/>
        </w:numPr>
        <w:pStyle w:val="Compact"/>
      </w:pPr>
      <w:r>
        <w:rPr>
          <w:bCs/>
          <w:b/>
        </w:rPr>
        <w:t xml:space="preserve">Energy Consumption in Use:</w:t>
      </w:r>
      <w:r>
        <w:t xml:space="preserve"> </w:t>
      </w:r>
      <w:r>
        <w:t xml:space="preserve">100 kWh</w:t>
      </w:r>
    </w:p>
    <w:p>
      <w:pPr>
        <w:pStyle w:val="FirstParagraph"/>
      </w:pPr>
      <w:r>
        <w:t xml:space="preserve">Assuming 100 kWh represents the total energy consumed over the entire lifespan (5 years) and using a global average grid mix forecast for 2027, the use phase emissions are calculated.</w:t>
      </w:r>
    </w:p>
    <w:p>
      <w:pPr>
        <w:pStyle w:val="BodyText"/>
      </w:pPr>
      <w:r>
        <w:rPr>
          <w:bCs/>
          <w:b/>
        </w:rPr>
        <w:t xml:space="preserve">Assumed Average Global Grid Emission Factor:</w:t>
      </w:r>
      <w:r>
        <w:t xml:space="preserve"> </w:t>
      </w:r>
      <w:r>
        <w:t xml:space="preserve">0.400 kg CO2e/kWh (IEA forecast for 2027)</w:t>
      </w:r>
    </w:p>
    <w:p>
      <w:pPr>
        <w:pStyle w:val="BodyText"/>
      </w:pPr>
      <w:r>
        <w:rPr>
          <w:bCs/>
          <w:b/>
        </w:rPr>
        <w:t xml:space="preserve">Use Phase Emissions:</w:t>
      </w:r>
      <w:r>
        <w:t xml:space="preserve"> </w:t>
      </w:r>
      <w:r>
        <w:t xml:space="preserve">100 kWh * 0.400 kg CO2e/kWh = 40.0 kg CO2e</w:t>
      </w:r>
    </w:p>
    <w:p>
      <w:pPr>
        <w:pStyle w:val="BodyText"/>
      </w:pPr>
      <w:r>
        <w:rPr>
          <w:iCs/>
          <w:i/>
        </w:rPr>
        <w:t xml:space="preserve">Note: If "Energy Consumption in Use" refers to per-year or per-cycle consumption, the calculation would be adjusted accordingly by multiplying by the lifespan or number of cycles. For this report, it\'s assumed to be the total over the product\'s life.</w:t>
      </w:r>
    </w:p>
    <w:bookmarkEnd w:id="33"/>
    <w:bookmarkStart w:id="34" w:name="Xefbcd0fe4e0fd6235593442315458cdb6924947"/>
    <w:p>
      <w:pPr>
        <w:pStyle w:val="Heading3"/>
      </w:pPr>
      <w:r>
        <w:t xml:space="preserve">2.5. End-of-Life (EoL) Impact (Scope 3 - Downstream)</w:t>
      </w:r>
    </w:p>
    <w:p>
      <w:pPr>
        <w:pStyle w:val="FirstParagraph"/>
      </w:pPr>
      <w:r>
        <w:t xml:space="preserve">The End-of-Life (EoL) stage accounts for emissions or avoided emissions associated with disposal and circular economy initiatives.</w:t>
      </w:r>
    </w:p>
    <w:p>
      <w:pPr>
        <w:numPr>
          <w:ilvl w:val="0"/>
          <w:numId w:val="1011"/>
        </w:numPr>
        <w:pStyle w:val="Compact"/>
      </w:pPr>
      <w:r>
        <w:rPr>
          <w:bCs/>
          <w:b/>
        </w:rPr>
        <w:t xml:space="preserve">Recyclability Percentage:</w:t>
      </w:r>
      <w:r>
        <w:t xml:space="preserve"> </w:t>
      </w:r>
      <w:r>
        <w:t xml:space="preserve">80%</w:t>
      </w:r>
    </w:p>
    <w:p>
      <w:pPr>
        <w:numPr>
          <w:ilvl w:val="0"/>
          <w:numId w:val="1011"/>
        </w:numPr>
        <w:pStyle w:val="Compact"/>
      </w:pPr>
      <w:r>
        <w:rPr>
          <w:bCs/>
          <w:b/>
        </w:rPr>
        <w:t xml:space="preserve">Circular/Take-back Programs:</w:t>
      </w:r>
      <w:r>
        <w:t xml:space="preserve"> </w:t>
      </w:r>
      <w:r>
        <w:t xml:space="preserve">Robust take-back and material reprocessing scheme</w:t>
      </w:r>
    </w:p>
    <w:p>
      <w:pPr>
        <w:pStyle w:val="FirstParagraph"/>
      </w:pPr>
      <w:r>
        <w:t xml:space="preserve">Given the high recyclability percentage (80%) and the presence of "Robust take-back and material reprocessing scheme", the net EoL impact is expected to be significantly lower than a purely linear disposal scenario. While specific quantitative values for avoided emissions from recycling require detailed material masses and specific avoided burden factors, the existence of these programs contributes positively to the product\'s overall circularity.</w:t>
      </w:r>
    </w:p>
    <w:p>
      <w:pPr>
        <w:pStyle w:val="BodyText"/>
      </w:pPr>
      <w:r>
        <w:t xml:space="preserve">The LSR Standard would allow for accounting of biogenic carbon removals if bio-based materials are present and effectively sequestered at EoL, however, specific data for this is not provided in the BOM.</w:t>
      </w:r>
    </w:p>
    <w:p>
      <w:pPr>
        <w:pStyle w:val="BodyText"/>
      </w:pPr>
      <w:r>
        <w:rPr>
          <w:bCs/>
          <w:b/>
        </w:rPr>
        <w:t xml:space="preserve">EoL Impact (Estimated):</w:t>
      </w:r>
      <w:r>
        <w:t xml:space="preserve"> </w:t>
      </w:r>
      <w:r>
        <w:t xml:space="preserve">N/A (Placeholder due to unspecified detailed EoL factors and product mass)</w:t>
      </w:r>
    </w:p>
    <w:bookmarkEnd w:id="34"/>
    <w:bookmarkStart w:id="35" w:name="total-product-carbon-footprint-summary"/>
    <w:p>
      <w:pPr>
        <w:pStyle w:val="Heading3"/>
      </w:pPr>
      <w:r>
        <w:t xml:space="preserve">2.6. Total Product Carbon Footprint Summary</w:t>
      </w:r>
    </w:p>
    <w:p>
      <w:pPr>
        <w:pStyle w:val="FirstParagraph"/>
      </w:pPr>
      <w:r>
        <w:t xml:space="preserve">Aggregating the emissions from each lifecycle stage provides the total cradle-to-grave PCF for 1.0 unit of jttjfirine.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Estimated CO2e (kg/unit)</w:t>
            </w:r>
          </w:p>
        </w:tc>
      </w:tr>
      <w:tr>
        <w:tc>
          <w:tcPr/>
          <w:p>
            <w:pPr>
              <w:pStyle w:val="Compact"/>
              <w:jc w:val="left"/>
            </w:pPr>
            <w:r>
              <w:t xml:space="preserve">Material Acquisition</w:t>
            </w:r>
          </w:p>
        </w:tc>
        <w:tc>
          <w:tcPr/>
          <w:p>
            <w:pPr>
              <w:pStyle w:val="Compact"/>
              <w:jc w:val="left"/>
            </w:pPr>
            <w:r>
              <w:t xml:space="preserve">Scope 3 (Upstream)</w:t>
            </w:r>
          </w:p>
        </w:tc>
        <w:tc>
          <w:tcPr/>
          <w:p>
            <w:pPr>
              <w:pStyle w:val="Compact"/>
              <w:jc w:val="left"/>
            </w:pPr>
            <w:r>
              <w:t xml:space="preserve">26.8</w:t>
            </w:r>
          </w:p>
        </w:tc>
      </w:tr>
      <w:tr>
        <w:tc>
          <w:tcPr/>
          <w:p>
            <w:pPr>
              <w:pStyle w:val="Compact"/>
              <w:jc w:val="left"/>
            </w:pPr>
            <w:r>
              <w:t xml:space="preserve">Manufacturing &amp; Assembly</w:t>
            </w:r>
          </w:p>
        </w:tc>
        <w:tc>
          <w:tcPr/>
          <w:p>
            <w:pPr>
              <w:pStyle w:val="Compact"/>
              <w:jc w:val="left"/>
            </w:pPr>
            <w:r>
              <w:t xml:space="preserve">Scope 2 (Scope 1 if direct emissions included)</w:t>
            </w:r>
          </w:p>
        </w:tc>
        <w:tc>
          <w:tcPr/>
          <w:p>
            <w:pPr>
              <w:pStyle w:val="Compact"/>
              <w:jc w:val="left"/>
            </w:pPr>
            <w:r>
              <w:t xml:space="preserve">1.241</w:t>
            </w:r>
          </w:p>
        </w:tc>
      </w:tr>
      <w:tr>
        <w:tc>
          <w:tcPr/>
          <w:p>
            <w:pPr>
              <w:pStyle w:val="Compact"/>
              <w:jc w:val="left"/>
            </w:pPr>
            <w:r>
              <w:t xml:space="preserve">Transportation</w:t>
            </w:r>
          </w:p>
        </w:tc>
        <w:tc>
          <w:tcPr/>
          <w:p>
            <w:pPr>
              <w:pStyle w:val="Compact"/>
              <w:jc w:val="left"/>
            </w:pPr>
            <w:r>
              <w:t xml:space="preserve">Scope 3 (Upstream &amp; Downstream)</w:t>
            </w:r>
          </w:p>
        </w:tc>
        <w:tc>
          <w:tcPr/>
          <w:p>
            <w:pPr>
              <w:pStyle w:val="Compact"/>
              <w:jc w:val="left"/>
            </w:pPr>
            <w:r>
              <w:t xml:space="preserve">N/A (Placeholder)</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40.0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N/A (Placeholder)</w:t>
            </w:r>
          </w:p>
        </w:tc>
      </w:tr>
      <w:tr>
        <w:tc>
          <w:tcPr/>
          <w:p>
            <w:pPr>
              <w:pStyle w:val="Compact"/>
              <w:jc w:val="left"/>
            </w:pPr>
            <w:r>
              <w:rPr>
                <w:bCs/>
                <w:b/>
              </w:rPr>
              <w:t xml:space="preserve">Total PCF (kg CO2e/unit)</w:t>
            </w:r>
          </w:p>
        </w:tc>
        <w:tc>
          <w:tcPr/>
          <w:p>
            <w:pPr>
              <w:pStyle w:val="Compact"/>
            </w:pPr>
          </w:p>
        </w:tc>
        <w:tc>
          <w:tcPr/>
          <w:p>
            <w:pPr>
              <w:pStyle w:val="Compact"/>
              <w:jc w:val="left"/>
            </w:pPr>
            <w:r>
              <w:rPr>
                <w:bCs/>
                <w:b/>
              </w:rPr>
              <w:t xml:space="preserve">Approx. 68.041 (excluding Transport and EoL, which are N/A)</w:t>
            </w:r>
          </w:p>
        </w:tc>
      </w:tr>
    </w:tbl>
    <w:p>
      <w:pPr>
        <w:pStyle w:val="BodyText"/>
      </w:pPr>
      <w:r>
        <w:rPr>
          <w:iCs/>
          <w:i/>
        </w:rPr>
        <w:t xml:space="preserve">Note: The total PCF is indicative. Accurate figures for Transportation and End-of-Life stages require specific data for transport modes, distances, and detailed material quantities for EoL scenarios.</w:t>
      </w:r>
    </w:p>
    <w:p>
      <w:r>
        <w:pict>
          <v:rect style="width:0;height:1.5pt" o:hralign="center" o:hrstd="t" o:hr="t"/>
        </w:pict>
      </w:r>
    </w:p>
    <w:bookmarkEnd w:id="35"/>
    <w:bookmarkEnd w:id="36"/>
    <w:bookmarkStart w:id="39" w:name="hotspots-and-reliability"/>
    <w:p>
      <w:pPr>
        <w:pStyle w:val="Heading2"/>
      </w:pPr>
      <w:r>
        <w:t xml:space="preserve">3. Hotspots and Reliability</w:t>
      </w:r>
    </w:p>
    <w:bookmarkStart w:id="37" w:name="identified-hotspots"/>
    <w:p>
      <w:pPr>
        <w:pStyle w:val="Heading3"/>
      </w:pPr>
      <w:r>
        <w:t xml:space="preserve">3.1. Identified Hotspots</w:t>
      </w:r>
    </w:p>
    <w:p>
      <w:pPr>
        <w:numPr>
          <w:ilvl w:val="0"/>
          <w:numId w:val="1012"/>
        </w:numPr>
        <w:pStyle w:val="Compact"/>
      </w:pPr>
      <w:r>
        <w:rPr>
          <w:bCs/>
          <w:b/>
        </w:rPr>
        <w:t xml:space="preserve">Material Acquisition:</w:t>
      </w:r>
      <w:r>
        <w:t xml:space="preserve"> </w:t>
      </w:r>
      <w:r>
        <w:t xml:space="preserve">The material impact, particularly from components like Steel and Electronics, contributes significantly to the overall footprint. Steel alone accounts for 25 kg CO2e of the material impact.</w:t>
      </w:r>
    </w:p>
    <w:p>
      <w:pPr>
        <w:numPr>
          <w:ilvl w:val="0"/>
          <w:numId w:val="1012"/>
        </w:numPr>
        <w:pStyle w:val="Compact"/>
      </w:pPr>
      <w:r>
        <w:rPr>
          <w:bCs/>
          <w:b/>
        </w:rPr>
        <w:t xml:space="preserve">Use Phase Energy:</w:t>
      </w:r>
      <w:r>
        <w:t xml:space="preserve"> </w:t>
      </w:r>
      <w:r>
        <w:t xml:space="preserve">With an energy consumption of 100 kWh over its lifespan, the use phase is a major hotspot, contributing 40.0 kg CO2e. This highlights the importance of user behavior and the carbon intensity of the electricity grid where the product is used.</w:t>
      </w:r>
    </w:p>
    <w:p>
      <w:pPr>
        <w:numPr>
          <w:ilvl w:val="0"/>
          <w:numId w:val="1012"/>
        </w:numPr>
        <w:pStyle w:val="Compact"/>
      </w:pPr>
      <w:r>
        <w:rPr>
          <w:bCs/>
          <w:b/>
        </w:rPr>
        <w:t xml:space="preserve">Manufacturing Energy:</w:t>
      </w:r>
      <w:r>
        <w:t xml:space="preserve"> </w:t>
      </w:r>
      <w:r>
        <w:t xml:space="preserve">Despite 60% renewable energy usage, the remaining non-renewable electricity still contributes 1.241 kg CO2e, indicating potential for further decarbonization of the manufacturing process.</w:t>
      </w:r>
    </w:p>
    <w:p>
      <w:pPr>
        <w:numPr>
          <w:ilvl w:val="0"/>
          <w:numId w:val="1012"/>
        </w:numPr>
        <w:pStyle w:val="Compact"/>
      </w:pPr>
      <w:r>
        <w:rPr>
          <w:bCs/>
          <w:b/>
        </w:rPr>
        <w:t xml:space="preserve">Transportation:</w:t>
      </w:r>
      <w:r>
        <w:t xml:space="preserve"> </w:t>
      </w:r>
      <w:r>
        <w:t xml:space="preserve">While not quantitatively assessed, intercontinental transport from Europe to China for materials, and subsequent distribution, likely represents a substantial Scope 3 hotspot.</w:t>
      </w:r>
    </w:p>
    <w:bookmarkEnd w:id="37"/>
    <w:bookmarkStart w:id="38" w:name="data-reliability-and-limitations"/>
    <w:p>
      <w:pPr>
        <w:pStyle w:val="Heading3"/>
      </w:pPr>
      <w:r>
        <w:t xml:space="preserve">3.2. Data Reliability and Limitations</w:t>
      </w:r>
    </w:p>
    <w:p>
      <w:pPr>
        <w:pStyle w:val="FirstParagraph"/>
      </w:pPr>
      <w:r>
        <w:t xml:space="preserve">The reliability of this PCF analysis is contingent on the accuracy and completeness of the input data:</w:t>
      </w:r>
    </w:p>
    <w:p>
      <w:pPr>
        <w:numPr>
          <w:ilvl w:val="0"/>
          <w:numId w:val="1013"/>
        </w:numPr>
        <w:pStyle w:val="Compact"/>
      </w:pPr>
      <w:r>
        <w:rPr>
          <w:bCs/>
          <w:b/>
        </w:rPr>
        <w:t xml:space="preserve">Strengths:</w:t>
      </w:r>
      <w:r>
        <w:t xml:space="preserve"> </w:t>
      </w:r>
      <w:r>
        <w:t xml:space="preserve">The provision of a detailed BOM with pre-calculated \'Total Carbon\' for each material item provides a strong foundation for the material acquisition impact. Specific energy usage and renewable energy percentage enhance manufacturing phase accuracy.</w:t>
      </w:r>
    </w:p>
    <w:p>
      <w:pPr>
        <w:numPr>
          <w:ilvl w:val="0"/>
          <w:numId w:val="1013"/>
        </w:numPr>
        <w:pStyle w:val="Compact"/>
      </w:pPr>
      <w:r>
        <w:rPr>
          <w:bCs/>
          <w:b/>
        </w:rPr>
        <w:t xml:space="preserve">Limitations:</w:t>
      </w:r>
    </w:p>
    <w:p>
      <w:pPr>
        <w:numPr>
          <w:ilvl w:val="1"/>
          <w:numId w:val="1014"/>
        </w:numPr>
        <w:pStyle w:val="Compact"/>
      </w:pPr>
      <w:r>
        <w:t xml:space="preserve">Placeholder values for \'Transport Mode\', \'Transport Distance\', and \'Last-Mile Delivery Channel\' mean that transportation emissions are currently unquantified, impacting the completeness of the Scope 3 assessment.</w:t>
      </w:r>
    </w:p>
    <w:p>
      <w:pPr>
        <w:numPr>
          <w:ilvl w:val="1"/>
          <w:numId w:val="1014"/>
        </w:numPr>
        <w:pStyle w:val="Compact"/>
      </w:pPr>
      <w:r>
        <w:t xml:space="preserve">The generic emission factors for China\'s manufacturing grid mix (0.6205 kg CO2e/kWh for 2023) and the global average for the use phase (0.400 kg CO2e/kWh forecast for 2027) are approximations and may not reflect the exact electricity mixes.</w:t>
      </w:r>
    </w:p>
    <w:p>
      <w:pPr>
        <w:numPr>
          <w:ilvl w:val="1"/>
          <w:numId w:val="1014"/>
        </w:numPr>
        <w:pStyle w:val="Compact"/>
      </w:pPr>
      <w:r>
        <w:t xml:space="preserve">Detailed mass data for End-of-Life scenarios is missing, limiting precise EoL calculations and the quantification of avoided emission benefits from recycling.</w:t>
      </w:r>
    </w:p>
    <w:p>
      <w:pPr>
        <w:numPr>
          <w:ilvl w:val="1"/>
          <w:numId w:val="1014"/>
        </w:numPr>
        <w:pStyle w:val="Compact"/>
      </w:pPr>
      <w:r>
        <w:t xml:space="preserve">While the LSR Standard is conceptually applied, specific land use change data for raw materials or potential carbon removal technologies would be needed for a fully quantified LSR impact.</w:t>
      </w:r>
    </w:p>
    <w:p>
      <w:pPr>
        <w:pStyle w:val="FirstParagraph"/>
      </w:pPr>
      <w:r>
        <w:t xml:space="preserve">To improve reliability, primary data collection for transport logistics and detailed material-specific EoL factors for the product\'s total mass are recommended.</w:t>
      </w:r>
    </w:p>
    <w:p>
      <w:r>
        <w:pict>
          <v:rect style="width:0;height:1.5pt" o:hralign="center" o:hrstd="t" o:hr="t"/>
        </w:pict>
      </w:r>
    </w:p>
    <w:bookmarkEnd w:id="38"/>
    <w:bookmarkEnd w:id="39"/>
    <w:bookmarkStart w:id="41" w:name="conclusion-and-recommendations"/>
    <w:p>
      <w:pPr>
        <w:pStyle w:val="Heading2"/>
      </w:pPr>
      <w:r>
        <w:t xml:space="preserve">4. Conclusion and Recommendations</w:t>
      </w:r>
    </w:p>
    <w:p>
      <w:pPr>
        <w:pStyle w:val="FirstParagraph"/>
      </w:pPr>
      <w:r>
        <w:t xml:space="preserve">The Product Carbon Footprint analysis for</w:t>
      </w:r>
      <w:r>
        <w:t xml:space="preserve"> </w:t>
      </w:r>
      <w:r>
        <w:rPr>
          <w:bCs/>
          <w:b/>
        </w:rPr>
        <w:t xml:space="preserve">jttjfirine</w:t>
      </w:r>
      <w:r>
        <w:t xml:space="preserve"> </w:t>
      </w:r>
      <w:r>
        <w:t xml:space="preserve">provides a foundational understanding of its environmental impact across its lifecycle, in adherence to the GHG Protocol. While specific quantitative values for transportation and EoL are pending more detailed data, the report highlights key areas for intervention.</w:t>
      </w:r>
    </w:p>
    <w:bookmarkStart w:id="40" w:name="recommendations-for-emission-reduction"/>
    <w:p>
      <w:pPr>
        <w:pStyle w:val="Heading3"/>
      </w:pPr>
      <w:r>
        <w:t xml:space="preserve">Recommendations for Emission Reduction:</w:t>
      </w:r>
    </w:p>
    <w:p>
      <w:pPr>
        <w:numPr>
          <w:ilvl w:val="0"/>
          <w:numId w:val="1015"/>
        </w:numPr>
        <w:pStyle w:val="Compact"/>
      </w:pPr>
      <w:r>
        <w:rPr>
          <w:bCs/>
          <w:b/>
        </w:rPr>
        <w:t xml:space="preserve">Material Optimization:</w:t>
      </w:r>
      <w:r>
        <w:t xml:space="preserve"> </w:t>
      </w:r>
      <w:r>
        <w:t xml:space="preserve">Review the BOM to identify and potentially substitute high-carbon materials, such as Steel and those within Electronics, with lower-impact alternatives, or optimize material usage to reduce quantity.</w:t>
      </w:r>
    </w:p>
    <w:p>
      <w:pPr>
        <w:numPr>
          <w:ilvl w:val="0"/>
          <w:numId w:val="1015"/>
        </w:numPr>
        <w:pStyle w:val="Compact"/>
      </w:pPr>
      <w:r>
        <w:rPr>
          <w:bCs/>
          <w:b/>
        </w:rPr>
        <w:t xml:space="preserve">Manufacturing Efficiency &amp; Renewable Energy:</w:t>
      </w:r>
      <w:r>
        <w:t xml:space="preserve"> </w:t>
      </w:r>
      <w:r>
        <w:t xml:space="preserve">Further increase renewable energy usage beyond 60% at the manufacturing facility in China. Additionally, invest in advanced energy-efficient production technologies to reduce the 5 kWh/unit energy intensity.</w:t>
      </w:r>
    </w:p>
    <w:p>
      <w:pPr>
        <w:numPr>
          <w:ilvl w:val="0"/>
          <w:numId w:val="1015"/>
        </w:numPr>
        <w:pStyle w:val="Compact"/>
      </w:pPr>
      <w:r>
        <w:rPr>
          <w:bCs/>
          <w:b/>
        </w:rPr>
        <w:t xml:space="preserve">Logistics Optimization:</w:t>
      </w:r>
      <w:r>
        <w:t xml:space="preserve"> </w:t>
      </w:r>
      <w:r>
        <w:t xml:space="preserve">Conduct a thorough analysis of transport modes, distances (currently \'10,000 km (placeholder)\'), and last-mile delivery (currently \'Courier service (placeholder)\') to identify opportunities for shifting to lower-emission transport (e.g., rail over road/air, optimizing routes and loads).</w:t>
      </w:r>
    </w:p>
    <w:p>
      <w:pPr>
        <w:numPr>
          <w:ilvl w:val="0"/>
          <w:numId w:val="1015"/>
        </w:numPr>
        <w:pStyle w:val="Compact"/>
      </w:pPr>
      <w:r>
        <w:rPr>
          <w:bCs/>
          <w:b/>
        </w:rPr>
        <w:t xml:space="preserve">Use Phase Design:</w:t>
      </w:r>
      <w:r>
        <w:t xml:space="preserve"> </w:t>
      </w:r>
      <w:r>
        <w:t xml:space="preserve">Explore design improvements to reduce the 100 kWh energy consumption during the product\'s 5-year lifespan. This could include higher energy efficiency components, passive design elements, or enabling energy-saving modes.</w:t>
      </w:r>
    </w:p>
    <w:p>
      <w:pPr>
        <w:numPr>
          <w:ilvl w:val="0"/>
          <w:numId w:val="1015"/>
        </w:numPr>
        <w:pStyle w:val="Compact"/>
      </w:pPr>
      <w:r>
        <w:rPr>
          <w:bCs/>
          <w:b/>
        </w:rPr>
        <w:t xml:space="preserve">Circular Economy Enhancement:</w:t>
      </w:r>
      <w:r>
        <w:t xml:space="preserve"> </w:t>
      </w:r>
      <w:r>
        <w:t xml:space="preserve">Capitalize on the 80% recyclability by enhancing and robustly promoting the "Robust take-back and material reprocessing scheme" programs. This ensures materials are effectively recovered and re-integrated into new product cycles, minimizing landfill impact and maximizing avoided emissions.</w:t>
      </w:r>
    </w:p>
    <w:p>
      <w:pPr>
        <w:pStyle w:val="FirstParagraph"/>
      </w:pPr>
      <w:r>
        <w:t xml:space="preserve">Continuous monitoring and refinement of data inputs will lead to increasingly accurate PCF assessments, supporting</w:t>
      </w:r>
      <w:r>
        <w:t xml:space="preserve"> </w:t>
      </w:r>
      <w:r>
        <w:rPr>
          <w:bCs/>
          <w:b/>
        </w:rPr>
        <w:t xml:space="preserve">fikttgzoyt</w:t>
      </w:r>
      <w:r>
        <w:t xml:space="preserve"> </w:t>
      </w:r>
      <w:r>
        <w:t xml:space="preserve">in its journey towards enhanced sustainability and reduced environmental impact.</w:t>
      </w:r>
    </w:p>
    <w:p>
      <w:r>
        <w:pict>
          <v:rect style="width:0;height:1.5pt" o:hralign="center" o:hrstd="t" o:hr="t"/>
        </w:pict>
      </w:r>
    </w:p>
    <w:bookmarkEnd w:id="40"/>
    <w:bookmarkEnd w:id="41"/>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jttjfirine</dc:title>
  <dc:creator/>
  <dc:description>Product Carbon Footprint (PCF) analysis report for jttjfirine, performed by fikttgzoyt, adhering to GHG Protocol standards and 2026 LSR updates.</dc:description>
  <cp:keywords/>
  <dcterms:created xsi:type="dcterms:W3CDTF">2026-07-16T03:19:19Z</dcterms:created>
  <dcterms:modified xsi:type="dcterms:W3CDTF">2026-07-16T03:19:19Z</dcterms:modified>
</cp:coreProperties>
</file>

<file path=docProps/custom.xml><?xml version="1.0" encoding="utf-8"?>
<Properties xmlns="http://schemas.openxmlformats.org/officeDocument/2006/custom-properties" xmlns:vt="http://schemas.openxmlformats.org/officeDocument/2006/docPropsVTypes"/>
</file>