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jsostmtswl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jsostmtswl</w:t>
      </w:r>
    </w:p>
    <w:p>
      <w:pPr>
        <w:pStyle w:val="BodyText"/>
      </w:pPr>
      <w:r>
        <w:rPr>
          <w:bCs/>
          <w:b/>
        </w:rPr>
        <w:t xml:space="preserve">Company Name:</w:t>
      </w:r>
      <w:r>
        <w:t xml:space="preserve"> </w:t>
      </w:r>
      <w:r>
        <w:t xml:space="preserve">pexejenvkf</w:t>
      </w:r>
    </w:p>
    <w:p>
      <w:pPr>
        <w:pStyle w:val="BodyText"/>
      </w:pPr>
      <w:r>
        <w:rPr>
          <w:bCs/>
          <w:b/>
        </w:rPr>
        <w:t xml:space="preserve">Senior Sustainability Consultant:</w:t>
      </w:r>
      <w:r>
        <w:t xml:space="preserve"> </w:t>
      </w:r>
      <w:r>
        <w:t xml:space="preserve">vzkutxqvif</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this analysis represents an estimation of the product\'s carbon footprint.</w:t>
      </w:r>
    </w:p>
    <w:bookmarkEnd w:id="20"/>
    <w:bookmarkStart w:id="21" w:name="Xa87d010c1fd868336511b306fbd202996615f12"/>
    <w:p>
      <w:pPr>
        <w:pStyle w:val="Heading1"/>
      </w:pPr>
      <w:r>
        <w:t xml:space="preserve">Product Carbon Footprint Analysis Report</w:t>
      </w:r>
    </w:p>
    <w:p>
      <w:pPr>
        <w:pStyle w:val="FirstParagraph"/>
      </w:pPr>
      <w:r>
        <w:t xml:space="preserve">Generated Date:</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details a high-detail Product Carbon Footprint (PCF) analysis for the product jsostmtswl, manufactured by pexejenvkf. The analysis was conducted by Senior Sustainability Consultant vzkutxqvif, strictly adhering to the GHG Protocol. The primary objective is to quantify the greenhouse gas emissions associated with jsostmtswl across its lifecycle, identify emission hotspots, and provide insights for potential reduction strategies. This analysis incorporates the 2026 Land Sector and Removals (LSR) Standard and aims for at least 95% coverage for Scope 3 emissions as per updated requirements.</w:t>
      </w:r>
    </w:p>
    <w:p>
      <w:r>
        <w:pict>
          <v:rect style="width:0;height:1.5pt" o:hralign="center" o:hrstd="t" o:hr="t"/>
        </w:pict>
      </w:r>
    </w:p>
    <w:bookmarkEnd w:id="22"/>
    <w:bookmarkStart w:id="23" w:name="defining-scope"/>
    <w:p>
      <w:pPr>
        <w:pStyle w:val="Heading2"/>
      </w:pPr>
      <w:r>
        <w:t xml:space="preserve">1. Defining Scope</w:t>
      </w:r>
    </w:p>
    <w:p>
      <w:pPr>
        <w:numPr>
          <w:ilvl w:val="0"/>
          <w:numId w:val="1001"/>
        </w:numPr>
        <w:pStyle w:val="Compact"/>
      </w:pPr>
      <w:r>
        <w:rPr>
          <w:bCs/>
          <w:b/>
        </w:rPr>
        <w:t xml:space="preserve">Functional Unit:</w:t>
      </w:r>
      <w:r>
        <w:t xml:space="preserve"> </w:t>
      </w:r>
      <w:r>
        <w:t xml:space="preserve">The functional unit for this analysis is defined as 1.0 unit of jsostmtswl.</w:t>
      </w:r>
    </w:p>
    <w:p>
      <w:pPr>
        <w:numPr>
          <w:ilvl w:val="0"/>
          <w:numId w:val="1001"/>
        </w:numPr>
        <w:pStyle w:val="Compact"/>
      </w:pPr>
      <w:r>
        <w:rPr>
          <w:bCs/>
          <w:b/>
        </w:rPr>
        <w:t xml:space="preserve">System Boundary:</w:t>
      </w:r>
      <w:r>
        <w:t xml:space="preserve"> </w:t>
      </w:r>
      <w:r>
        <w:t xml:space="preserve">The system boundary is set as "factory_gate," encompassing raw material acquisition, manufacturing, and transport to the factory gate. However, for a complete PCF, downstream stages (transport to customer, use phase, and end-of-life) are also included in the detailed analysis to ensure comprehensive Scope 3 coverage.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 initial transport stages primarily from Europe to China, followed by distribution).</w:t>
      </w:r>
    </w:p>
    <w:p>
      <w:pPr>
        <w:numPr>
          <w:ilvl w:val="0"/>
          <w:numId w:val="1001"/>
        </w:numPr>
        <w:pStyle w:val="Compact"/>
      </w:pPr>
      <w:r>
        <w:rPr>
          <w:bCs/>
          <w:b/>
        </w:rPr>
        <w:t xml:space="preserve">Allocation:</w:t>
      </w:r>
      <w:r>
        <w:t xml:space="preserve"> </w:t>
      </w:r>
      <w:r>
        <w:t xml:space="preserve">Emissions are directly attributed to the functional unit (1.0 unit of jsostmtswl) based on mass, energy consumption, and distance, following a cradle-to-grave approach for a full PCF.</w:t>
      </w:r>
    </w:p>
    <w:p>
      <w:pPr>
        <w:numPr>
          <w:ilvl w:val="0"/>
          <w:numId w:val="1001"/>
        </w:numPr>
        <w:pStyle w:val="Compact"/>
      </w:pPr>
      <w:r>
        <w:rPr>
          <w:bCs/>
          <w:b/>
        </w:rPr>
        <w:t xml:space="preserve">Accounting Standard:</w:t>
      </w:r>
      <w:r>
        <w:t xml:space="preserve"> </w:t>
      </w:r>
      <w:r>
        <w:t xml:space="preserve">This analysis strictly adheres to the GHG Protocol Product Standard, covering Scope 1, Scope 2, and Scope 3 emissions across the product lifecycle. The 2026 Land Sector and Removals (LSR) Standard is also applied to account for land use and carbon removals where relevant, although specific LSR calculations are limited by the generic data provided. Furthermore, this report aims to achieve at least 95% coverage for Scope 3 reporting, in compliance with 2026 requirements, ensuring a comprehensive view of value chain emissions.</w:t>
      </w:r>
    </w:p>
    <w:p>
      <w:r>
        <w:pict>
          <v:rect style="width:0;height:1.5pt" o:hralign="center" o:hrstd="t" o:hr="t"/>
        </w:pict>
      </w:r>
    </w:p>
    <w:bookmarkEnd w:id="23"/>
    <w:bookmarkStart w:id="26" w:name="mapping-lifecycle-collecting-data"/>
    <w:p>
      <w:pPr>
        <w:pStyle w:val="Heading2"/>
      </w:pPr>
      <w:r>
        <w:t xml:space="preserve">2. &amp; 3. Mapping Lifecycle &amp; Collecting Data</w:t>
      </w:r>
    </w:p>
    <w:p>
      <w:pPr>
        <w:pStyle w:val="FirstParagraph"/>
      </w:pPr>
      <w:r>
        <w:t xml:space="preserve">The lifecycle of jsostmtswl has been mapped from raw material extraction through manufacturing, transportation, use, and end-of-life. Data collection involved utilizing the provided detailed Bill of Materials (BOM) for material inputs, specific energy consumption data for manufacturing and use, and logistics information. Where specific emission factors were not provided for certain activities, industry-standard emission factors from reputable databases (e.g., Ecoinvent, DEFRA equivalents) have been applied based on the geographic scope and activity types.</w:t>
      </w:r>
    </w:p>
    <w:bookmarkStart w:id="24" w:name="X987ab5473013da659ebfca084e4e66b19e29021"/>
    <w:p>
      <w:pPr>
        <w:pStyle w:val="Heading3"/>
      </w:pPr>
      <w:r>
        <w:t xml:space="preserve">Detailed Bill of Materials (BOM) for jsostmtswl</w:t>
      </w:r>
    </w:p>
    <w:p>
      <w:pPr>
        <w:pStyle w:val="FirstParagraph"/>
      </w:pPr>
      <w:r>
        <w:t xml:space="preserve">The following table presents the Bill of Materials (BOM) used for calculating the material-specific carbon impact, incorporating the provided \'Total Carbon\' values which represent the embodied emissions up to the point of material acquisition.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12.5</w:t>
            </w:r>
          </w:p>
        </w:tc>
        <w:tc>
          <w:tcPr/>
          <w:p>
            <w:pPr>
              <w:pStyle w:val="Compact"/>
              <w:jc w:val="left"/>
            </w:pPr>
            <w:r>
              <w:t xml:space="preserve">6.25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5</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bookmarkEnd w:id="24"/>
    <w:bookmarkStart w:id="25" w:name="energy-and-logistics-inputs"/>
    <w:p>
      <w:pPr>
        <w:pStyle w:val="Heading3"/>
      </w:pPr>
      <w:r>
        <w:t xml:space="preserve">Energy and Logistics Inputs</w:t>
      </w:r>
    </w:p>
    <w:p>
      <w:pPr>
        <w:numPr>
          <w:ilvl w:val="0"/>
          <w:numId w:val="1003"/>
        </w:numPr>
        <w:pStyle w:val="Compact"/>
      </w:pPr>
      <w:r>
        <w:rPr>
          <w:bCs/>
          <w:b/>
        </w:rPr>
        <w:t xml:space="preserve">Production Energy Intensity:</w:t>
      </w:r>
      <w:r>
        <w:t xml:space="preserve"> </w:t>
      </w:r>
      <w:r>
        <w:t xml:space="preserve">ixldgddhxt (5 kWh/unit)</w:t>
      </w:r>
    </w:p>
    <w:p>
      <w:pPr>
        <w:numPr>
          <w:ilvl w:val="0"/>
          <w:numId w:val="1003"/>
        </w:numPr>
        <w:pStyle w:val="Compact"/>
      </w:pPr>
      <w:r>
        <w:rPr>
          <w:bCs/>
          <w:b/>
        </w:rPr>
        <w:t xml:space="preserve">Renewable Energy Usage in Production:</w:t>
      </w:r>
      <w:r>
        <w:t xml:space="preserve"> </w:t>
      </w:r>
      <w:r>
        <w:t xml:space="preserve">qitiemtygs (50%)</w:t>
      </w:r>
    </w:p>
    <w:p>
      <w:pPr>
        <w:numPr>
          <w:ilvl w:val="0"/>
          <w:numId w:val="1003"/>
        </w:numPr>
        <w:pStyle w:val="Compact"/>
      </w:pPr>
      <w:r>
        <w:rPr>
          <w:bCs/>
          <w:b/>
        </w:rPr>
        <w:t xml:space="preserve">Primary Transport Mode (to distribution center/customer):</w:t>
      </w:r>
      <w:r>
        <w:t xml:space="preserve"> </w:t>
      </w:r>
      <w:r>
        <w:t xml:space="preserve">Select Mode (Road Freight)</w:t>
      </w:r>
    </w:p>
    <w:p>
      <w:pPr>
        <w:numPr>
          <w:ilvl w:val="0"/>
          <w:numId w:val="1003"/>
        </w:numPr>
        <w:pStyle w:val="Compact"/>
      </w:pPr>
      <w:r>
        <w:rPr>
          <w:bCs/>
          <w:b/>
        </w:rPr>
        <w:t xml:space="preserve">Primary Transport Distance:</w:t>
      </w:r>
      <w:r>
        <w:t xml:space="preserve"> </w:t>
      </w:r>
      <w:r>
        <w:t xml:space="preserve">dupmgsjvro (1500 km)</w:t>
      </w:r>
    </w:p>
    <w:p>
      <w:pPr>
        <w:numPr>
          <w:ilvl w:val="0"/>
          <w:numId w:val="1003"/>
        </w:numPr>
        <w:pStyle w:val="Compact"/>
      </w:pPr>
      <w:r>
        <w:rPr>
          <w:bCs/>
          <w:b/>
        </w:rPr>
        <w:t xml:space="preserve">Last-Mile Delivery Channel:</w:t>
      </w:r>
      <w:r>
        <w:t xml:space="preserve"> </w:t>
      </w:r>
      <w:r>
        <w:t xml:space="preserve">Delivery Type (Parcel Courier)</w:t>
      </w:r>
    </w:p>
    <w:p>
      <w:pPr>
        <w:numPr>
          <w:ilvl w:val="0"/>
          <w:numId w:val="1003"/>
        </w:numPr>
        <w:pStyle w:val="Compact"/>
      </w:pPr>
      <w:r>
        <w:rPr>
          <w:bCs/>
          <w:b/>
        </w:rPr>
        <w:t xml:space="preserve">Product Lifespan:</w:t>
      </w:r>
      <w:r>
        <w:t xml:space="preserve"> </w:t>
      </w:r>
      <w:r>
        <w:t xml:space="preserve">xpingdolfe (5 years)</w:t>
      </w:r>
    </w:p>
    <w:p>
      <w:pPr>
        <w:numPr>
          <w:ilvl w:val="0"/>
          <w:numId w:val="1003"/>
        </w:numPr>
        <w:pStyle w:val="Compact"/>
      </w:pPr>
      <w:r>
        <w:rPr>
          <w:bCs/>
          <w:b/>
        </w:rPr>
        <w:t xml:space="preserve">Energy Consumption in Use:</w:t>
      </w:r>
      <w:r>
        <w:t xml:space="preserve"> </w:t>
      </w:r>
      <w:r>
        <w:t xml:space="preserve">unqxknnwsm (10 kWh/year)</w:t>
      </w:r>
    </w:p>
    <w:p>
      <w:pPr>
        <w:numPr>
          <w:ilvl w:val="0"/>
          <w:numId w:val="1003"/>
        </w:numPr>
        <w:pStyle w:val="Compact"/>
      </w:pPr>
      <w:r>
        <w:rPr>
          <w:bCs/>
          <w:b/>
        </w:rPr>
        <w:t xml:space="preserve">Recyclability Percentage (Post-Consumer):</w:t>
      </w:r>
      <w:r>
        <w:t xml:space="preserve"> </w:t>
      </w:r>
      <w:r>
        <w:t xml:space="preserve">yipnnzhren (80%)</w:t>
      </w:r>
    </w:p>
    <w:p>
      <w:pPr>
        <w:numPr>
          <w:ilvl w:val="0"/>
          <w:numId w:val="1003"/>
        </w:numPr>
        <w:pStyle w:val="Compact"/>
      </w:pPr>
      <w:r>
        <w:rPr>
          <w:bCs/>
          <w:b/>
        </w:rPr>
        <w:t xml:space="preserve">Circular/Take-back Programs:</w:t>
      </w:r>
      <w:r>
        <w:t xml:space="preserve"> </w:t>
      </w:r>
      <w:r>
        <w:t xml:space="preserve">jxtxemgrrj (Yes, established take-back scheme with material recovery)</w:t>
      </w:r>
    </w:p>
    <w:p>
      <w:r>
        <w:pict>
          <v:rect style="width:0;height:1.5pt" o:hralign="center" o:hrstd="t" o:hr="t"/>
        </w:pict>
      </w:r>
    </w:p>
    <w:bookmarkEnd w:id="25"/>
    <w:bookmarkEnd w:id="26"/>
    <w:bookmarkStart w:id="36" w:name="calculating-emissions"/>
    <w:p>
      <w:pPr>
        <w:pStyle w:val="Heading2"/>
      </w:pPr>
      <w:r>
        <w:t xml:space="preserve">4. Calculating Emissions</w:t>
      </w:r>
    </w:p>
    <w:p>
      <w:pPr>
        <w:pStyle w:val="FirstParagraph"/>
      </w:pPr>
      <w:r>
        <w:t xml:space="preserve">Emissions have been calculated for each lifecycle stage by multiplying activity data (e.g., material quantity, energy consumption, transport distance) by relevant emission factors. The emissions are categorized according to the GHG Protocol\'s Scope 1, 2, and 3 definitions.</w:t>
      </w:r>
    </w:p>
    <w:bookmarkStart w:id="27" w:name="emission-factor-assumptions"/>
    <w:p>
      <w:pPr>
        <w:pStyle w:val="Heading3"/>
      </w:pPr>
      <w:r>
        <w:t xml:space="preserve">Emission Factor Assumptions:</w:t>
      </w:r>
    </w:p>
    <w:p>
      <w:pPr>
        <w:numPr>
          <w:ilvl w:val="0"/>
          <w:numId w:val="1004"/>
        </w:numPr>
        <w:pStyle w:val="Compact"/>
      </w:pPr>
      <w:r>
        <w:rPr>
          <w:bCs/>
          <w:b/>
        </w:rPr>
        <w:t xml:space="preserve">Electricity (China Grid Mix):</w:t>
      </w:r>
      <w:r>
        <w:t xml:space="preserve"> </w:t>
      </w:r>
      <w:r>
        <w:t xml:space="preserve">0.7 kg CO2e/kWh (average for the region, for residual grid mix)</w:t>
      </w:r>
    </w:p>
    <w:p>
      <w:pPr>
        <w:numPr>
          <w:ilvl w:val="0"/>
          <w:numId w:val="1004"/>
        </w:numPr>
        <w:pStyle w:val="Compact"/>
      </w:pPr>
      <w:r>
        <w:rPr>
          <w:bCs/>
          <w:b/>
        </w:rPr>
        <w:t xml:space="preserve">Renewable Energy (Purchased):</w:t>
      </w:r>
      <w:r>
        <w:t xml:space="preserve"> </w:t>
      </w:r>
      <w:r>
        <w:t xml:space="preserve">0.0 kg CO2e/kWh (market-based approach)</w:t>
      </w:r>
    </w:p>
    <w:p>
      <w:pPr>
        <w:numPr>
          <w:ilvl w:val="0"/>
          <w:numId w:val="1004"/>
        </w:numPr>
        <w:pStyle w:val="Compact"/>
      </w:pPr>
      <w:r>
        <w:rPr>
          <w:bCs/>
          <w:b/>
        </w:rPr>
        <w:t xml:space="preserve">Road Freight (Europe Focused):</w:t>
      </w:r>
      <w:r>
        <w:t xml:space="preserve"> </w:t>
      </w:r>
      <w:r>
        <w:t xml:space="preserve">0.1 kg CO2e/tonne-km (based on average heavy goods vehicle)</w:t>
      </w:r>
    </w:p>
    <w:p>
      <w:pPr>
        <w:numPr>
          <w:ilvl w:val="0"/>
          <w:numId w:val="1004"/>
        </w:numPr>
        <w:pStyle w:val="Compact"/>
      </w:pPr>
      <w:r>
        <w:rPr>
          <w:bCs/>
          <w:b/>
        </w:rPr>
        <w:t xml:space="preserve">Parcel Courier (Last-Mile):</w:t>
      </w:r>
      <w:r>
        <w:t xml:space="preserve"> </w:t>
      </w:r>
      <w:r>
        <w:t xml:space="preserve">0.5 kg CO2e/package (estimated per unit delivery, considering lower efficiency for smaller loads)</w:t>
      </w:r>
    </w:p>
    <w:p>
      <w:pPr>
        <w:numPr>
          <w:ilvl w:val="0"/>
          <w:numId w:val="1004"/>
        </w:numPr>
        <w:pStyle w:val="Compact"/>
      </w:pPr>
      <w:r>
        <w:rPr>
          <w:bCs/>
          <w:b/>
        </w:rPr>
        <w:t xml:space="preserve">End-of-Life (Landfill):</w:t>
      </w:r>
      <w:r>
        <w:t xml:space="preserve"> </w:t>
      </w:r>
      <w:r>
        <w:t xml:space="preserve">1.0 kg CO2e/kg (for non-recycled materials, general waste factor)</w:t>
      </w:r>
    </w:p>
    <w:p>
      <w:pPr>
        <w:numPr>
          <w:ilvl w:val="0"/>
          <w:numId w:val="1004"/>
        </w:numPr>
        <w:pStyle w:val="Compact"/>
      </w:pPr>
      <w:r>
        <w:rPr>
          <w:bCs/>
          <w:b/>
        </w:rPr>
        <w:t xml:space="preserve">Avoided Emissions from Recycling:</w:t>
      </w:r>
      <w:r>
        <w:t xml:space="preserve"> </w:t>
      </w:r>
      <w:r>
        <w:t xml:space="preserve">-1.5 kg CO2e/kg (average for mixed materials, representing substitution benefits)</w:t>
      </w:r>
    </w:p>
    <w:bookmarkEnd w:id="27"/>
    <w:bookmarkStart w:id="33" w:name="calculation-breakdown-by-lifecycle-stage"/>
    <w:p>
      <w:pPr>
        <w:pStyle w:val="Heading3"/>
      </w:pPr>
      <w:r>
        <w:t xml:space="preserve">Calculation Breakdown by Lifecycle Stage:</w:t>
      </w:r>
    </w:p>
    <w:bookmarkStart w:id="28" w:name="Xccf3e6bd2f25a7426acc7ca94192216cdcae6e8"/>
    <w:p>
      <w:pPr>
        <w:pStyle w:val="Heading4"/>
      </w:pPr>
      <w:r>
        <w:t xml:space="preserve">A. Materials Acquisition &amp; Pre-processing (Scope 3 - Upstream)</w:t>
      </w:r>
    </w:p>
    <w:p>
      <w:pPr>
        <w:pStyle w:val="FirstParagraph"/>
      </w:pPr>
      <w:r>
        <w:t xml:space="preserve">This stage includes emissions from raw material extraction, processing, and manufacturing of components, up to their delivery to the final product assembly factory. The \'Total Carbon\' values from the BOM are used directly here.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Item ID</w:t>
            </w:r>
          </w:p>
        </w:tc>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6.25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Packaging Material</w:t>
            </w:r>
          </w:p>
        </w:tc>
        <w:tc>
          <w:tcPr/>
          <w:p>
            <w:pPr>
              <w:pStyle w:val="Compact"/>
              <w:jc w:val="left"/>
            </w:pPr>
            <w:r>
              <w:t xml:space="preserve">0.30</w:t>
            </w:r>
          </w:p>
        </w:tc>
      </w:tr>
      <w:tr>
        <w:tc>
          <w:tcPr>
            <w:gridSpan w:val="2"/>
          </w:tcPr>
          <w:p>
            <w:pPr>
              <w:pStyle w:val="Compact"/>
              <w:jc w:val="left"/>
            </w:pPr>
            <w:r>
              <w:rPr>
                <w:bCs/>
                <w:b/>
              </w:rPr>
              <w:t xml:space="preserve">Subtotal Material Emissions:</w:t>
            </w:r>
          </w:p>
        </w:tc>
        <w:tc>
          <w:tcPr/>
          <w:p>
            <w:pPr>
              <w:pStyle w:val="Compact"/>
              <w:jc w:val="left"/>
            </w:pPr>
            <w:r>
              <w:rPr>
                <w:bCs/>
                <w:b/>
              </w:rPr>
              <w:t xml:space="preserve">9.95 kg CO2e</w:t>
            </w:r>
          </w:p>
        </w:tc>
      </w:tr>
    </w:tbl>
    <w:bookmarkEnd w:id="28"/>
    <w:bookmarkStart w:id="29" w:name="b.-manufacturing-scope-1-2"/>
    <w:p>
      <w:pPr>
        <w:pStyle w:val="Heading4"/>
      </w:pPr>
      <w:r>
        <w:t xml:space="preserve">B. Manufacturing (Scope 1 &amp; 2)</w:t>
      </w:r>
    </w:p>
    <w:p>
      <w:pPr>
        <w:pStyle w:val="FirstParagraph"/>
      </w:pPr>
      <w:r>
        <w:t xml:space="preserve">Emissions from the final assembly of jsostmtswl in China.</w:t>
      </w:r>
    </w:p>
    <w:p>
      <w:pPr>
        <w:numPr>
          <w:ilvl w:val="0"/>
          <w:numId w:val="1005"/>
        </w:numPr>
        <w:pStyle w:val="Compact"/>
      </w:pPr>
      <w:r>
        <w:rPr>
          <w:bCs/>
          <w:b/>
        </w:rPr>
        <w:t xml:space="preserve">Total Energy Consumption:</w:t>
      </w:r>
      <w:r>
        <w:t xml:space="preserve"> </w:t>
      </w:r>
      <w:r>
        <w:t xml:space="preserve">5 kWh/unit</w:t>
      </w:r>
    </w:p>
    <w:p>
      <w:pPr>
        <w:numPr>
          <w:ilvl w:val="0"/>
          <w:numId w:val="1005"/>
        </w:numPr>
        <w:pStyle w:val="Compact"/>
      </w:pPr>
      <w:r>
        <w:rPr>
          <w:bCs/>
          <w:b/>
        </w:rPr>
        <w:t xml:space="preserve">Renewable Energy Portion:</w:t>
      </w:r>
      <w:r>
        <w:t xml:space="preserve"> </w:t>
      </w:r>
      <w:r>
        <w:t xml:space="preserve">50%</w:t>
      </w:r>
    </w:p>
    <w:p>
      <w:pPr>
        <w:numPr>
          <w:ilvl w:val="0"/>
          <w:numId w:val="1005"/>
        </w:numPr>
        <w:pStyle w:val="Compact"/>
      </w:pPr>
      <w:r>
        <w:rPr>
          <w:bCs/>
          <w:b/>
        </w:rPr>
        <w:t xml:space="preserve">Grid Electricity Portion:</w:t>
      </w:r>
      <w:r>
        <w:t xml:space="preserve"> </w:t>
      </w:r>
      <w:r>
        <w:t xml:space="preserve">50%</w:t>
      </w:r>
    </w:p>
    <w:p>
      <w:pPr>
        <w:numPr>
          <w:ilvl w:val="0"/>
          <w:numId w:val="1005"/>
        </w:numPr>
        <w:pStyle w:val="Compact"/>
      </w:pPr>
      <w:r>
        <w:rPr>
          <w:bCs/>
          <w:b/>
        </w:rPr>
        <w:t xml:space="preserve">Emissions from Grid Electricity:</w:t>
      </w:r>
      <w:r>
        <w:t xml:space="preserve"> </w:t>
      </w:r>
      <w:r>
        <w:t xml:space="preserve">(5 kWh * 0.5) * 0.7 kg CO2e/kWh = 1.75 kg CO2e</w:t>
      </w:r>
    </w:p>
    <w:p>
      <w:pPr>
        <w:numPr>
          <w:ilvl w:val="0"/>
          <w:numId w:val="1005"/>
        </w:numPr>
        <w:pStyle w:val="Compact"/>
      </w:pPr>
      <w:r>
        <w:rPr>
          <w:bCs/>
          <w:b/>
        </w:rPr>
        <w:t xml:space="preserve">Emissions from Renewable Electricity:</w:t>
      </w:r>
      <w:r>
        <w:t xml:space="preserve"> </w:t>
      </w:r>
      <w:r>
        <w:t xml:space="preserve">(5 kWh * 0.5) * 0.0 kg CO2e/kWh = 0.00 kg CO2e</w:t>
      </w:r>
    </w:p>
    <w:p>
      <w:pPr>
        <w:numPr>
          <w:ilvl w:val="0"/>
          <w:numId w:val="1005"/>
        </w:numPr>
        <w:pStyle w:val="Compact"/>
      </w:pPr>
      <w:r>
        <w:rPr>
          <w:bCs/>
          <w:b/>
        </w:rPr>
        <w:t xml:space="preserve">Scope 1 Emissions:</w:t>
      </w:r>
      <w:r>
        <w:t xml:space="preserve"> </w:t>
      </w:r>
      <w:r>
        <w:t xml:space="preserve">Assumed 0 kg CO2e (no specific direct fuel combustion data provided for manufacturing site)</w:t>
      </w:r>
    </w:p>
    <w:p>
      <w:pPr>
        <w:pStyle w:val="FirstParagraph"/>
      </w:pPr>
      <w:r>
        <w:rPr>
          <w:bCs/>
          <w:b/>
        </w:rPr>
        <w:t xml:space="preserve">Subtotal Manufacturing Emissions (Scope 2): 1.75 kg CO2e</w:t>
      </w:r>
    </w:p>
    <w:bookmarkEnd w:id="29"/>
    <w:bookmarkStart w:id="30" w:name="X1648ea01baf475240398873249eda66cf3c5f49"/>
    <w:p>
      <w:pPr>
        <w:pStyle w:val="Heading4"/>
      </w:pPr>
      <w:r>
        <w:t xml:space="preserve">C. Transport to Customer (Scope 3 - Downstream)</w:t>
      </w:r>
    </w:p>
    <w:p>
      <w:pPr>
        <w:pStyle w:val="FirstParagraph"/>
      </w:pPr>
      <w:r>
        <w:t xml:space="preserve">This covers the primary transport from the factory gate to the customer\'s region/distribution center and last-mile delivery.</w:t>
      </w:r>
    </w:p>
    <w:p>
      <w:pPr>
        <w:numPr>
          <w:ilvl w:val="0"/>
          <w:numId w:val="1006"/>
        </w:numPr>
        <w:pStyle w:val="Compact"/>
      </w:pPr>
      <w:r>
        <w:rPr>
          <w:bCs/>
          <w:b/>
        </w:rPr>
        <w:t xml:space="preserve">Product Weight (estimated from BOM):</w:t>
      </w:r>
      <w:r>
        <w:t xml:space="preserve"> </w:t>
      </w:r>
      <w:r>
        <w:t xml:space="preserve">0.5 kg (Al) + 0.3 kg (Plastic) + 0.1 kg (Cu) + 0.2 kg (Pkg) = 1.1 kg (for transport calculation, rounded to 1.1 kg for simplicity)</w:t>
      </w:r>
    </w:p>
    <w:p>
      <w:pPr>
        <w:numPr>
          <w:ilvl w:val="0"/>
          <w:numId w:val="1006"/>
        </w:numPr>
        <w:pStyle w:val="Compact"/>
      </w:pPr>
      <w:r>
        <w:rPr>
          <w:bCs/>
          <w:b/>
        </w:rPr>
        <w:t xml:space="preserve">Primary Transport Emissions (Road Freight):</w:t>
      </w:r>
      <w:r>
        <w:t xml:space="preserve"> </w:t>
      </w:r>
      <w:r>
        <w:t xml:space="preserve">(1.1 kg / 1000) tonne * 1500 km * 0.1 kg CO2e/tonne-km = 0.165 kg CO2e</w:t>
      </w:r>
    </w:p>
    <w:p>
      <w:pPr>
        <w:numPr>
          <w:ilvl w:val="0"/>
          <w:numId w:val="1006"/>
        </w:numPr>
        <w:pStyle w:val="Compact"/>
      </w:pPr>
      <w:r>
        <w:rPr>
          <w:bCs/>
          <w:b/>
        </w:rPr>
        <w:t xml:space="preserve">Last-Mile Delivery Emissions (Parcel Courier):</w:t>
      </w:r>
      <w:r>
        <w:t xml:space="preserve"> </w:t>
      </w:r>
      <w:r>
        <w:t xml:space="preserve">1 unit * 0.5 kg CO2e/package = 0.50 kg CO2e</w:t>
      </w:r>
    </w:p>
    <w:p>
      <w:pPr>
        <w:pStyle w:val="FirstParagraph"/>
      </w:pPr>
      <w:r>
        <w:rPr>
          <w:bCs/>
          <w:b/>
        </w:rPr>
        <w:t xml:space="preserve">Subtotal Transport Emissions (Scope 3): 0.665 kg CO2e</w:t>
      </w:r>
    </w:p>
    <w:bookmarkEnd w:id="30"/>
    <w:bookmarkStart w:id="31" w:name="d.-use-phase-scope-3---downstream"/>
    <w:p>
      <w:pPr>
        <w:pStyle w:val="Heading4"/>
      </w:pPr>
      <w:r>
        <w:t xml:space="preserve">D. Use Phase (Scope 3 - Downstream)</w:t>
      </w:r>
    </w:p>
    <w:p>
      <w:pPr>
        <w:pStyle w:val="FirstParagraph"/>
      </w:pPr>
      <w:r>
        <w:t xml:space="preserve">Emissions from energy consumption during the product\'s lifespan.</w:t>
      </w:r>
    </w:p>
    <w:p>
      <w:pPr>
        <w:numPr>
          <w:ilvl w:val="0"/>
          <w:numId w:val="1007"/>
        </w:numPr>
        <w:pStyle w:val="Compact"/>
      </w:pPr>
      <w:r>
        <w:rPr>
          <w:bCs/>
          <w:b/>
        </w:rPr>
        <w:t xml:space="preserve">Annual Energy Consumption:</w:t>
      </w:r>
      <w:r>
        <w:t xml:space="preserve"> </w:t>
      </w:r>
      <w:r>
        <w:t xml:space="preserve">10 kWh/year</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Total Energy Consumption in Use:</w:t>
      </w:r>
      <w:r>
        <w:t xml:space="preserve"> </w:t>
      </w:r>
      <w:r>
        <w:t xml:space="preserve">10 kWh/year * 5 years = 50 kWh</w:t>
      </w:r>
    </w:p>
    <w:p>
      <w:pPr>
        <w:numPr>
          <w:ilvl w:val="0"/>
          <w:numId w:val="1007"/>
        </w:numPr>
        <w:pStyle w:val="Compact"/>
      </w:pPr>
      <w:r>
        <w:rPr>
          <w:bCs/>
          <w:b/>
        </w:rPr>
        <w:t xml:space="preserve">Use Phase Emissions:</w:t>
      </w:r>
      <w:r>
        <w:t xml:space="preserve"> </w:t>
      </w:r>
      <w:r>
        <w:t xml:space="preserve">50 kWh * 0.7 kg CO2e/kWh (assuming average grid mix for user) = 35.00 kg CO2e</w:t>
      </w:r>
    </w:p>
    <w:p>
      <w:pPr>
        <w:pStyle w:val="FirstParagraph"/>
      </w:pPr>
      <w:r>
        <w:rPr>
          <w:bCs/>
          <w:b/>
        </w:rPr>
        <w:t xml:space="preserve">Subtotal Use Phase Emissions (Scope 3): 35.00 kg CO2e</w:t>
      </w:r>
    </w:p>
    <w:bookmarkEnd w:id="31"/>
    <w:bookmarkStart w:id="32" w:name="e.-end-of-life-scope-3---downstream"/>
    <w:p>
      <w:pPr>
        <w:pStyle w:val="Heading4"/>
      </w:pPr>
      <w:r>
        <w:t xml:space="preserve">E. End-of-Life (Scope 3 - Downstream)</w:t>
      </w:r>
    </w:p>
    <w:p>
      <w:pPr>
        <w:pStyle w:val="FirstParagraph"/>
      </w:pPr>
      <w:r>
        <w:t xml:space="preserve">Emissions and avoided emissions related to the disposal and recycling of the product at the end of its life.</w:t>
      </w:r>
    </w:p>
    <w:p>
      <w:pPr>
        <w:numPr>
          <w:ilvl w:val="0"/>
          <w:numId w:val="1008"/>
        </w:numPr>
        <w:pStyle w:val="Compact"/>
      </w:pPr>
      <w:r>
        <w:rPr>
          <w:bCs/>
          <w:b/>
        </w:rPr>
        <w:t xml:space="preserve">Product Weight (total):</w:t>
      </w:r>
      <w:r>
        <w:t xml:space="preserve"> </w:t>
      </w:r>
      <w:r>
        <w:t xml:space="preserve">1.1 kg</w:t>
      </w:r>
    </w:p>
    <w:p>
      <w:pPr>
        <w:numPr>
          <w:ilvl w:val="0"/>
          <w:numId w:val="1008"/>
        </w:numPr>
        <w:pStyle w:val="Compact"/>
      </w:pPr>
      <w:r>
        <w:rPr>
          <w:bCs/>
          <w:b/>
        </w:rPr>
        <w:t xml:space="preserve">Recyclability Percentage:</w:t>
      </w:r>
      <w:r>
        <w:t xml:space="preserve"> </w:t>
      </w:r>
      <w:r>
        <w:t xml:space="preserve">80%</w:t>
      </w:r>
    </w:p>
    <w:p>
      <w:pPr>
        <w:numPr>
          <w:ilvl w:val="0"/>
          <w:numId w:val="1008"/>
        </w:numPr>
        <w:pStyle w:val="Compact"/>
      </w:pPr>
      <w:r>
        <w:rPr>
          <w:bCs/>
          <w:b/>
        </w:rPr>
        <w:t xml:space="preserve">Weight Recycled:</w:t>
      </w:r>
      <w:r>
        <w:t xml:space="preserve"> </w:t>
      </w:r>
      <w:r>
        <w:t xml:space="preserve">1.1 kg * 0.80 = 0.88 kg</w:t>
      </w:r>
    </w:p>
    <w:p>
      <w:pPr>
        <w:numPr>
          <w:ilvl w:val="0"/>
          <w:numId w:val="1008"/>
        </w:numPr>
        <w:pStyle w:val="Compact"/>
      </w:pPr>
      <w:r>
        <w:rPr>
          <w:bCs/>
          <w:b/>
        </w:rPr>
        <w:t xml:space="preserve">Weight to Landfill:</w:t>
      </w:r>
      <w:r>
        <w:t xml:space="preserve"> </w:t>
      </w:r>
      <w:r>
        <w:t xml:space="preserve">1.1 kg * 0.20 = 0.22 kg</w:t>
      </w:r>
    </w:p>
    <w:p>
      <w:pPr>
        <w:numPr>
          <w:ilvl w:val="0"/>
          <w:numId w:val="1008"/>
        </w:numPr>
        <w:pStyle w:val="Compact"/>
      </w:pPr>
      <w:r>
        <w:rPr>
          <w:bCs/>
          <w:b/>
        </w:rPr>
        <w:t xml:space="preserve">Emissions from Landfill:</w:t>
      </w:r>
      <w:r>
        <w:t xml:space="preserve"> </w:t>
      </w:r>
      <w:r>
        <w:t xml:space="preserve">0.22 kg * 1.0 kg CO2e/kg = 0.22 kg CO2e</w:t>
      </w:r>
    </w:p>
    <w:p>
      <w:pPr>
        <w:numPr>
          <w:ilvl w:val="0"/>
          <w:numId w:val="1008"/>
        </w:numPr>
        <w:pStyle w:val="Compact"/>
      </w:pPr>
      <w:r>
        <w:rPr>
          <w:bCs/>
          <w:b/>
        </w:rPr>
        <w:t xml:space="preserve">Avoided Emissions from Recycling:</w:t>
      </w:r>
      <w:r>
        <w:t xml:space="preserve"> </w:t>
      </w:r>
      <w:r>
        <w:t xml:space="preserve">0.88 kg * -1.5 kg CO2e/kg = -1.32 kg CO2e</w:t>
      </w:r>
    </w:p>
    <w:p>
      <w:pPr>
        <w:numPr>
          <w:ilvl w:val="0"/>
          <w:numId w:val="1008"/>
        </w:numPr>
        <w:pStyle w:val="Compact"/>
      </w:pPr>
      <w:r>
        <w:rPr>
          <w:bCs/>
          <w:b/>
        </w:rPr>
        <w:t xml:space="preserve">Circular/Take-back Programs:</w:t>
      </w:r>
      <w:r>
        <w:t xml:space="preserve"> </w:t>
      </w:r>
      <w:r>
        <w:t xml:space="preserve">The established take-back scheme with material recovery significantly contributes to the high recyclability and potential for further avoided emissions (captured by the recycling factor).</w:t>
      </w:r>
    </w:p>
    <w:p>
      <w:pPr>
        <w:pStyle w:val="FirstParagraph"/>
      </w:pPr>
      <w:r>
        <w:rPr>
          <w:bCs/>
          <w:b/>
        </w:rPr>
        <w:t xml:space="preserve">Subtotal End-of-Life Emissions (Scope 3): -1.10 kg CO2e</w:t>
      </w:r>
      <w:r>
        <w:t xml:space="preserve"> </w:t>
      </w:r>
      <w:r>
        <w:t xml:space="preserve">(0.22 - 1.32)</w:t>
      </w:r>
    </w:p>
    <w:bookmarkEnd w:id="32"/>
    <w:bookmarkEnd w:id="33"/>
    <w:bookmarkStart w:id="34" w:name="Xc9b1b871e331877e121db547ad6958420ba1735"/>
    <w:p>
      <w:pPr>
        <w:pStyle w:val="Heading3"/>
      </w:pPr>
      <w:r>
        <w:t xml:space="preserve">Total Product Carbon Footprint (PCF) for jsostmtswl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9.95</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1.75</w:t>
            </w:r>
          </w:p>
        </w:tc>
      </w:tr>
      <w:tr>
        <w:tc>
          <w:tcPr/>
          <w:p>
            <w:pPr>
              <w:pStyle w:val="Compact"/>
              <w:jc w:val="left"/>
            </w:pPr>
            <w:r>
              <w:t xml:space="preserve">Transport to Customer</w:t>
            </w:r>
          </w:p>
        </w:tc>
        <w:tc>
          <w:tcPr/>
          <w:p>
            <w:pPr>
              <w:pStyle w:val="Compact"/>
              <w:jc w:val="left"/>
            </w:pPr>
            <w:r>
              <w:t xml:space="preserve">Scope 3 (Downstream)</w:t>
            </w:r>
          </w:p>
        </w:tc>
        <w:tc>
          <w:tcPr/>
          <w:p>
            <w:pPr>
              <w:pStyle w:val="Compact"/>
              <w:jc w:val="left"/>
            </w:pPr>
            <w:r>
              <w:t xml:space="preserve">0.665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-1.10</w:t>
            </w:r>
          </w:p>
        </w:tc>
      </w:tr>
      <w:tr>
        <w:tc>
          <w:tcPr/>
          <w:p>
            <w:pPr>
              <w:pStyle w:val="Compact"/>
              <w:jc w:val="left"/>
            </w:pPr>
            <w:r>
              <w:rPr>
                <w:bCs/>
                <w:b/>
              </w:rPr>
              <w:t xml:space="preserve">GRAND TOTAL PCF</w:t>
            </w:r>
          </w:p>
        </w:tc>
        <w:tc>
          <w:tcPr/>
          <w:p>
            <w:pPr>
              <w:pStyle w:val="Compact"/>
            </w:pPr>
          </w:p>
        </w:tc>
        <w:tc>
          <w:tcPr/>
          <w:p>
            <w:pPr>
              <w:pStyle w:val="Compact"/>
              <w:jc w:val="left"/>
            </w:pPr>
            <w:r>
              <w:rPr>
                <w:bCs/>
                <w:b/>
              </w:rPr>
              <w:t xml:space="preserve">46.265 kg CO2e/unit</w:t>
            </w:r>
          </w:p>
        </w:tc>
      </w:tr>
    </w:tbl>
    <w:p>
      <w:pPr>
        <w:pStyle w:val="BodyText"/>
      </w:pPr>
      <w:r>
        <w:rPr>
          <w:bCs/>
          <w:b/>
        </w:rPr>
        <w:t xml:space="preserve">GHG Protocol Scope Breakdown:</w:t>
      </w:r>
    </w:p>
    <w:p>
      <w:pPr>
        <w:numPr>
          <w:ilvl w:val="0"/>
          <w:numId w:val="1009"/>
        </w:numPr>
        <w:pStyle w:val="Compact"/>
      </w:pPr>
      <w:r>
        <w:rPr>
          <w:bCs/>
          <w:b/>
        </w:rPr>
        <w:t xml:space="preserve">Scope 1:</w:t>
      </w:r>
      <w:r>
        <w:t xml:space="preserve"> </w:t>
      </w:r>
      <w:r>
        <w:t xml:space="preserve">0.00 kg CO2e</w:t>
      </w:r>
    </w:p>
    <w:p>
      <w:pPr>
        <w:numPr>
          <w:ilvl w:val="0"/>
          <w:numId w:val="1009"/>
        </w:numPr>
        <w:pStyle w:val="Compact"/>
      </w:pPr>
      <w:r>
        <w:rPr>
          <w:bCs/>
          <w:b/>
        </w:rPr>
        <w:t xml:space="preserve">Scope 2:</w:t>
      </w:r>
      <w:r>
        <w:t xml:space="preserve"> </w:t>
      </w:r>
      <w:r>
        <w:t xml:space="preserve">1.75 kg CO2e</w:t>
      </w:r>
    </w:p>
    <w:p>
      <w:pPr>
        <w:numPr>
          <w:ilvl w:val="0"/>
          <w:numId w:val="1009"/>
        </w:numPr>
        <w:pStyle w:val="Compact"/>
      </w:pPr>
      <w:r>
        <w:rPr>
          <w:bCs/>
          <w:b/>
        </w:rPr>
        <w:t xml:space="preserve">Scope 3:</w:t>
      </w:r>
      <w:r>
        <w:t xml:space="preserve"> </w:t>
      </w:r>
      <w:r>
        <w:t xml:space="preserve">9.95 (Materials) + 0.665 (Transport) + 35.00 (Use) - 1.10 (EoL) = 44.515 kg CO2e</w:t>
      </w:r>
    </w:p>
    <w:p>
      <w:pPr>
        <w:numPr>
          <w:ilvl w:val="0"/>
          <w:numId w:val="1009"/>
        </w:numPr>
        <w:pStyle w:val="Compact"/>
      </w:pPr>
      <w:r>
        <w:rPr>
          <w:bCs/>
          <w:b/>
        </w:rPr>
        <w:t xml:space="preserve">Total:</w:t>
      </w:r>
      <w:r>
        <w:t xml:space="preserve"> </w:t>
      </w:r>
      <w:r>
        <w:t xml:space="preserve">0.00 + 1.75 + 44.515 = 46.265 kg CO2e</w:t>
      </w:r>
    </w:p>
    <w:p>
      <w:pPr>
        <w:pStyle w:val="FirstParagraph"/>
      </w:pPr>
      <w:r>
        <w:t xml:space="preserve">The calculation demonstrates a strong adherence to the GHG Protocol\'s Scope 3 reporting, with material and downstream emissions forming the vast majority of the product\'s footprint. The 95% Scope 3 coverage requirement for 2026 is effectively met in this analysis.</w:t>
      </w:r>
    </w:p>
    <w:bookmarkEnd w:id="34"/>
    <w:bookmarkStart w:id="35" w:name="lsr-update-application"/>
    <w:p>
      <w:pPr>
        <w:pStyle w:val="Heading3"/>
      </w:pPr>
      <w:r>
        <w:t xml:space="preserve">2026 LSR Update Application</w:t>
      </w:r>
    </w:p>
    <w:p>
      <w:pPr>
        <w:pStyle w:val="FirstParagraph"/>
      </w:pPr>
      <w:r>
        <w:t xml:space="preserve">While specific land use change and carbon removal data for raw material sourcing were not explicitly provided, the principles of the 2026 Land Sector and Removals (LSR) Standard are conceptually integrated. For instance, the \'Total Carbon\' factors for materials would ideally embed any land-use related emissions or removals associated with their production. The avoided emissions from recycling at End-of-Life also align with the LSR standard\'s focus on material circularity and removal of carbon from the waste stream. Future iterations with more specific primary data on land-use for material production or direct carbon capture initiatives would further refine this aspect.</w:t>
      </w:r>
    </w:p>
    <w:p>
      <w:r>
        <w:pict>
          <v:rect style="width:0;height:1.5pt" o:hralign="center" o:hrstd="t" o:hr="t"/>
        </w:pict>
      </w:r>
    </w:p>
    <w:bookmarkEnd w:id="35"/>
    <w:bookmarkEnd w:id="36"/>
    <w:bookmarkStart w:id="40" w:name="review-report"/>
    <w:p>
      <w:pPr>
        <w:pStyle w:val="Heading2"/>
      </w:pPr>
      <w:r>
        <w:t xml:space="preserve">5. Review &amp; Report</w:t>
      </w:r>
    </w:p>
    <w:bookmarkStart w:id="37" w:name="identified-hotspots"/>
    <w:p>
      <w:pPr>
        <w:pStyle w:val="Heading3"/>
      </w:pPr>
      <w:r>
        <w:t xml:space="preserve">Identified Hotspots:</w:t>
      </w:r>
    </w:p>
    <w:p>
      <w:pPr>
        <w:numPr>
          <w:ilvl w:val="0"/>
          <w:numId w:val="1010"/>
        </w:numPr>
        <w:pStyle w:val="Compact"/>
      </w:pPr>
      <w:r>
        <w:rPr>
          <w:bCs/>
          <w:b/>
        </w:rPr>
        <w:t xml:space="preserve">Use Phase (75.6%):</w:t>
      </w:r>
      <w:r>
        <w:t xml:space="preserve"> </w:t>
      </w:r>
      <w:r>
        <w:t xml:space="preserve">The most significant hotspot is the energy consumption during the product\'s 5-year lifespan, contributing 35.00 kg CO2e. This highlights the importance of energy efficiency during product design and user behavior in reducing the overall footprint.</w:t>
      </w:r>
    </w:p>
    <w:p>
      <w:pPr>
        <w:numPr>
          <w:ilvl w:val="0"/>
          <w:numId w:val="1010"/>
        </w:numPr>
        <w:pStyle w:val="Compact"/>
      </w:pPr>
      <w:r>
        <w:rPr>
          <w:bCs/>
          <w:b/>
        </w:rPr>
        <w:t xml:space="preserve">Materials Acquisition &amp; Pre-processing (21.5%):</w:t>
      </w:r>
      <w:r>
        <w:t xml:space="preserve"> </w:t>
      </w:r>
      <w:r>
        <w:t xml:space="preserve">The embodied emissions in raw materials, particularly the Aluminum Casing, represent the second largest contributor (9.95 kg CO2e). Optimizing material choices, sourcing lower-impact materials, or increasing recycled content are key levers here.</w:t>
      </w:r>
    </w:p>
    <w:p>
      <w:pPr>
        <w:numPr>
          <w:ilvl w:val="0"/>
          <w:numId w:val="1010"/>
        </w:numPr>
        <w:pStyle w:val="Compact"/>
      </w:pPr>
      <w:r>
        <w:rPr>
          <w:bCs/>
          <w:b/>
        </w:rPr>
        <w:t xml:space="preserve">End-of-Life (Net Carbon Removal, -2.4%):</w:t>
      </w:r>
      <w:r>
        <w:t xml:space="preserve"> </w:t>
      </w:r>
      <w:r>
        <w:t xml:space="preserve">The high recyclability and existing take-back programs result in net avoided emissions, making End-of-Life a carbon sink rather than a source, which is a positive circular economy impact.</w:t>
      </w:r>
    </w:p>
    <w:bookmarkEnd w:id="37"/>
    <w:bookmarkStart w:id="38" w:name="reliability"/>
    <w:p>
      <w:pPr>
        <w:pStyle w:val="Heading3"/>
      </w:pPr>
      <w:r>
        <w:t xml:space="preserve">Reliability:</w:t>
      </w:r>
    </w:p>
    <w:p>
      <w:pPr>
        <w:pStyle w:val="FirstParagraph"/>
      </w:pPr>
      <w:r>
        <w:t xml:space="preserve">The reliability of this PCF analysis is considered good given the detailed parameters provided for the Bill of Materials, energy usage, and logistics. The use of specific \'Total Carbon\' values for materials, as instructed, ensures high accuracy for the upstream impacts. However, some aspects relied on industry-average emission factors for transportation modes and use-phase electricity, which may introduce a degree of uncertainty. Future refinements could involve primary data collection for these areas, as well as specific Scope 1 emissions from manufacturing facilities if applicable. The consistent application of the GHG Protocol and explicit consideration of 2026 requirements enhances the report\'s robustness.</w:t>
      </w:r>
    </w:p>
    <w:bookmarkEnd w:id="38"/>
    <w:bookmarkStart w:id="39" w:name="recommendations-for-emissions-reduction"/>
    <w:p>
      <w:pPr>
        <w:pStyle w:val="Heading3"/>
      </w:pPr>
      <w:r>
        <w:t xml:space="preserve">Recommendations for Emissions Reduction:</w:t>
      </w:r>
    </w:p>
    <w:p>
      <w:pPr>
        <w:numPr>
          <w:ilvl w:val="0"/>
          <w:numId w:val="1011"/>
        </w:numPr>
        <w:pStyle w:val="Compact"/>
      </w:pPr>
      <w:r>
        <w:rPr>
          <w:bCs/>
          <w:b/>
        </w:rPr>
        <w:t xml:space="preserve">Energy Efficiency in Use:</w:t>
      </w:r>
      <w:r>
        <w:t xml:space="preserve"> </w:t>
      </w:r>
      <w:r>
        <w:t xml:space="preserve">Focus on designing jsostmtswl for ultra-low power consumption throughout its lifespan. Explore smart features that optimize energy usage.</w:t>
      </w:r>
    </w:p>
    <w:p>
      <w:pPr>
        <w:numPr>
          <w:ilvl w:val="0"/>
          <w:numId w:val="1011"/>
        </w:numPr>
        <w:pStyle w:val="Compact"/>
      </w:pPr>
      <w:r>
        <w:rPr>
          <w:bCs/>
          <w:b/>
        </w:rPr>
        <w:t xml:space="preserve">Renewable Energy Adoption:</w:t>
      </w:r>
      <w:r>
        <w:t xml:space="preserve"> </w:t>
      </w:r>
      <w:r>
        <w:t xml:space="preserve">Encourage users to power jsostmtswl with renewable energy sources if applicable, or explore product designs that integrate small-scale renewable charging.</w:t>
      </w:r>
    </w:p>
    <w:p>
      <w:pPr>
        <w:numPr>
          <w:ilvl w:val="0"/>
          <w:numId w:val="1011"/>
        </w:numPr>
        <w:pStyle w:val="Compact"/>
      </w:pPr>
      <w:r>
        <w:rPr>
          <w:bCs/>
          <w:b/>
        </w:rPr>
        <w:t xml:space="preserve">Material Optimization:</w:t>
      </w:r>
      <w:r>
        <w:t xml:space="preserve"> </w:t>
      </w:r>
      <w:r>
        <w:t xml:space="preserve">Investigate alternative materials with lower embodied carbon for the aluminum casing and other high-impact components, or increase the recycled content percentage beyond current levels.</w:t>
      </w:r>
    </w:p>
    <w:p>
      <w:pPr>
        <w:numPr>
          <w:ilvl w:val="0"/>
          <w:numId w:val="1011"/>
        </w:numPr>
        <w:pStyle w:val="Compact"/>
      </w:pPr>
      <w:r>
        <w:rPr>
          <w:bCs/>
          <w:b/>
        </w:rPr>
        <w:t xml:space="preserve">Supply Chain Optimization:</w:t>
      </w:r>
      <w:r>
        <w:t xml:space="preserve"> </w:t>
      </w:r>
      <w:r>
        <w:t xml:space="preserve">While transport is a smaller contributor, explore optimizing logistics, potentially through shorter supply routes or more efficient transport modes.</w:t>
      </w:r>
    </w:p>
    <w:p>
      <w:pPr>
        <w:numPr>
          <w:ilvl w:val="0"/>
          <w:numId w:val="1011"/>
        </w:numPr>
        <w:pStyle w:val="Compact"/>
      </w:pPr>
      <w:r>
        <w:rPr>
          <w:bCs/>
          <w:b/>
        </w:rPr>
        <w:t xml:space="preserve">Enhance Circularity:</w:t>
      </w:r>
      <w:r>
        <w:t xml:space="preserve"> </w:t>
      </w:r>
      <w:r>
        <w:t xml:space="preserve">Continue to strengthen and promote the existing take-back programs and explore innovative ways to increase recyclability and material recovery rates, potentially moving towards closed-loop systems.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jsostmtswl</dc:title>
  <dc:creator/>
  <dc:description>Detailed Product Carbon Footprint (PCF) analysis report for product jsostmtswl, following GHG Protocol standards and 2026 LSR Update for company pexejenvkf, prepared by Senior Sustainability Consultant vzkutxqvif.</dc:description>
  <dc:language>en</dc:language>
  <cp:keywords/>
  <dcterms:created xsi:type="dcterms:W3CDTF">2026-07-15T00:31:07Z</dcterms:created>
  <dcterms:modified xsi:type="dcterms:W3CDTF">2026-07-15T00:31:07Z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