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jqpiqszmvd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jqpiqszmvd</w:t>
      </w:r>
    </w:p>
    <w:p>
      <w:pPr>
        <w:pStyle w:val="BodyText"/>
      </w:pPr>
      <w:r>
        <w:t xml:space="preserve">**Protocol Data (Accounting Standard):** GHG Protocol</w:t>
      </w:r>
    </w:p>
    <w:p>
      <w:pPr>
        <w:pStyle w:val="BodyText"/>
      </w:pPr>
      <w:r>
        <w:t xml:space="preserve">**Name of the Company:** ygimpeqfqz</w:t>
      </w:r>
    </w:p>
    <w:p>
      <w:pPr>
        <w:pStyle w:val="BodyText"/>
      </w:pPr>
      <w:r>
        <w:t xml:space="preserve">**Senior Sustainability Consultant:** nfldzffqpd</w:t>
      </w:r>
    </w:p>
    <w:p>
      <w:pPr>
        <w:pStyle w:val="BodyText"/>
      </w:pPr>
      <w:r>
        <w:t xml:space="preserve">This report is generated based on available data and industry standards. The emission factors and specific data points used for calculation are illustrative where explicit primary data was not provided, but are based on general industry averages and publicly available information to demonstrate the methodology.</w:t>
      </w:r>
    </w:p>
    <w:bookmarkEnd w:id="20"/>
    <w:bookmarkStart w:id="43" w:name="Xa1c042f4d2680b2223b442f64517b1841746882"/>
    <w:p>
      <w:pPr>
        <w:pStyle w:val="Heading1"/>
      </w:pPr>
      <w:r>
        <w:t xml:space="preserve">Product Carbon Footprint (PCF) Analysis Report for jqpiqszmvd</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"jqpiqszmvd" manufactured by "ygimpeqfqz". The analysis, conducted by Senior Sustainability Consultant "nfldzffqpd", adheres to the Greenhouse Gas (GHG) Protocol standards, incorporating recent 2026 updates, particularly regarding the Land Sector and Removals (LSR) Standard and stringent Scope 3 compliance requirements. The total carbon footprint of jqpiqszmvd, from raw material acquisition through end-of-life, is estimated at [Total PCF Value - will be calculated] kg CO2e per functional unit of 1.0 unit. The primary hotspots identified are [Hotspots - will be calculated], highlighting critical areas for potential emissions reduction. This report provides a foundational understanding for ygimpeqfqz to develop targeted decarbonization strategies.</w:t>
      </w:r>
    </w:p>
    <w:bookmarkEnd w:id="21"/>
    <w:bookmarkStart w:id="22" w:name="introduction"/>
    <w:p>
      <w:pPr>
        <w:pStyle w:val="Heading2"/>
      </w:pPr>
      <w:r>
        <w:t xml:space="preserve">Introduction</w:t>
      </w:r>
    </w:p>
    <w:p>
      <w:pPr>
        <w:pStyle w:val="FirstParagraph"/>
      </w:pPr>
      <w:r>
        <w:t xml:space="preserve">In response to increasing global climate concerns and regulatory demands, "ygimpeqfqz" commissioned this Product Carbon Footprint (PCF) analysis for its product "jqpiqszmvd". This assessment follows the rigorous guidelines set by the GHG Protocol, an internationally recognized accounting standard for quantifying greenhouse gas emissions. The objective is to quantify the total lifecycle GHG emissions associated with "jqpiqszmvd" to identify emission hotspots and inform strategic sustainability initiatives. This report was prepared by "nfldzffqpd", a Senior Sustainability Consultant specializing in GHG Protocol methodologies.</w:t>
      </w:r>
    </w:p>
    <w:bookmarkEnd w:id="22"/>
    <w:bookmarkStart w:id="24" w:name="methodology"/>
    <w:p>
      <w:pPr>
        <w:pStyle w:val="Heading2"/>
      </w:pPr>
      <w:r>
        <w:t xml:space="preserve">Methodology</w:t>
      </w:r>
    </w:p>
    <w:p>
      <w:pPr>
        <w:pStyle w:val="FirstParagraph"/>
      </w:pPr>
      <w:r>
        <w:t xml:space="preserve">The PCF analysis was performed in accordance with the GHG Protocol\'s Product Life Cycle Accounting and Reporting Standard. The methodology strictly adheres to a five-step process:</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w:t>
      </w:r>
      <w:r>
        <w:t xml:space="preserve"> </w:t>
      </w:r>
      <w:r>
        <w:t xml:space="preserve">Identifying and mapping all relevant life cycle stages and associated processes.</w:t>
      </w:r>
    </w:p>
    <w:p>
      <w:pPr>
        <w:numPr>
          <w:ilvl w:val="0"/>
          <w:numId w:val="1001"/>
        </w:numPr>
        <w:pStyle w:val="Compact"/>
      </w:pPr>
      <w:r>
        <w:rPr>
          <w:bCs/>
          <w:b/>
        </w:rPr>
        <w:t xml:space="preserve">Collect Data:</w:t>
      </w:r>
      <w:r>
        <w:t xml:space="preserve"> </w:t>
      </w:r>
      <w:r>
        <w:t xml:space="preserve">Gathering primary and secondary activity data and corresponding emission factors.</w:t>
      </w:r>
    </w:p>
    <w:p>
      <w:pPr>
        <w:numPr>
          <w:ilvl w:val="0"/>
          <w:numId w:val="1001"/>
        </w:numPr>
        <w:pStyle w:val="Compact"/>
      </w:pPr>
      <w:r>
        <w:rPr>
          <w:bCs/>
          <w:b/>
        </w:rPr>
        <w:t xml:space="preserve">Calculate Emissions:</w:t>
      </w:r>
      <w:r>
        <w:t xml:space="preserve"> </w:t>
      </w:r>
      <w:r>
        <w:t xml:space="preserve">Quantifying GHG emissions for each life cycle stage and categorizing them by scope.</w:t>
      </w:r>
    </w:p>
    <w:p>
      <w:pPr>
        <w:numPr>
          <w:ilvl w:val="0"/>
          <w:numId w:val="1001"/>
        </w:numPr>
        <w:pStyle w:val="Compact"/>
      </w:pPr>
      <w:r>
        <w:rPr>
          <w:bCs/>
          <w:b/>
        </w:rPr>
        <w:t xml:space="preserve">Review &amp; Report:</w:t>
      </w:r>
      <w:r>
        <w:t xml:space="preserve"> </w:t>
      </w:r>
      <w:r>
        <w:t xml:space="preserve">Analyzing results, identifying hotspots, assessing data reliability, and presenting findings.</w:t>
      </w:r>
    </w:p>
    <w:bookmarkStart w:id="23" w:name="X8877664c7f8833a514558f437f739c3634cd437"/>
    <w:p>
      <w:pPr>
        <w:pStyle w:val="Heading3"/>
      </w:pPr>
      <w:r>
        <w:t xml:space="preserve">Adherence to GHG Protocol and 2026 Updates</w:t>
      </w:r>
    </w:p>
    <w:p>
      <w:pPr>
        <w:pStyle w:val="FirstParagraph"/>
      </w:pPr>
      <w:r>
        <w:t xml:space="preserve">This assessment categorizes emissions into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ygimpeqfqz (e.g., direct fuel combustion in owned facilities).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ygimpeqfqz.</w:t>
      </w:r>
    </w:p>
    <w:p>
      <w:pPr>
        <w:numPr>
          <w:ilvl w:val="0"/>
          <w:numId w:val="1002"/>
        </w:numPr>
        <w:pStyle w:val="Compact"/>
      </w:pPr>
      <w:r>
        <w:rPr>
          <w:bCs/>
          <w:b/>
        </w:rPr>
        <w:t xml:space="preserve">Scope 3:</w:t>
      </w:r>
      <w:r>
        <w:t xml:space="preserve"> </w:t>
      </w:r>
      <w:r>
        <w:t xml:space="preserve">All other indirect GHG emissions occurring in the value chain of ygimpeqfqz, both upstream and downstream. This includes emissions from purchased goods and services, transportation, use of sold products, and end-of-life treatment.</w:t>
      </w:r>
    </w:p>
    <w:p>
      <w:pPr>
        <w:pStyle w:val="FirstParagraph"/>
      </w:pPr>
      <w:r>
        <w:t xml:space="preserve">This report also incorporates the</w:t>
      </w:r>
      <w:r>
        <w:t xml:space="preserve"> </w:t>
      </w:r>
      <w:r>
        <w:rPr>
          <w:bCs/>
          <w:b/>
        </w:rPr>
        <w:t xml:space="preserve">2026 Land Sector and Removals (LSR) Standard</w:t>
      </w:r>
      <w:r>
        <w:t xml:space="preserve">, which provides specific accounting requirements for land emissions and CO₂ removals. The LSR Standard, effective January 1, 2027, addresses land management, land use change, and technological CO₂ removals, with accompanying guidance expected in Q2 2026. While "jqpiqszmvd" may not have direct land-based activities, upstream components or packaging might have LSR implications, which are considered within the Scope 3 assessment. The 2026 updates to the GHG Protocol also include a mandatory</w:t>
      </w:r>
      <w:r>
        <w:t xml:space="preserve"> </w:t>
      </w:r>
      <w:r>
        <w:rPr>
          <w:bCs/>
          <w:b/>
        </w:rPr>
        <w:t xml:space="preserve">95% coverage for Scope 3 emissions</w:t>
      </w:r>
      <w:r>
        <w:t xml:space="preserve"> </w:t>
      </w:r>
      <w:r>
        <w:t xml:space="preserve">for conformance claims, requiring detailed disaggregation by data type (primary vs. secondary) to enhance transparency and credibility. This analysis strives for comprehensive Scope 3 coverage, using the most granular data available and clearly identifying data sources.</w:t>
      </w:r>
    </w:p>
    <w:p>
      <w:r>
        <w:pict>
          <v:rect style="width:0;height:1.5pt" o:hralign="center" o:hrstd="t" o:hr="t"/>
        </w:pict>
      </w:r>
    </w:p>
    <w:bookmarkEnd w:id="23"/>
    <w:bookmarkEnd w:id="24"/>
    <w:bookmarkStart w:id="25"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jqpiqszmvd</w:t>
      </w:r>
    </w:p>
    <w:p>
      <w:pPr>
        <w:numPr>
          <w:ilvl w:val="0"/>
          <w:numId w:val="1003"/>
        </w:numPr>
        <w:pStyle w:val="Compact"/>
      </w:pPr>
      <w:r>
        <w:rPr>
          <w:bCs/>
          <w:b/>
        </w:rPr>
        <w:t xml:space="preserve">System Boundary:</w:t>
      </w:r>
      <w:r>
        <w:t xml:space="preserve"> </w:t>
      </w:r>
      <w:r>
        <w:t xml:space="preserve">Cradle-to-grave, specifically \'factory_gate\' for core production processes (A1-A3 stages), extended to include transportation, use-phase, and end-of-life scenarios (A4-A5, B, C stages) to provide a complete Product Carbon Footprint.</w:t>
      </w:r>
    </w:p>
    <w:p>
      <w:pPr>
        <w:numPr>
          <w:ilvl w:val="0"/>
          <w:numId w:val="1003"/>
        </w:numPr>
        <w:pStyle w:val="Compact"/>
      </w:pPr>
      <w:r>
        <w:rPr>
          <w:bCs/>
          <w:b/>
        </w:rPr>
        <w:t xml:space="preserve">Geographic Scope:</w:t>
      </w:r>
      <w:r>
        <w:t xml:space="preserve"> </w:t>
      </w:r>
      <w:r>
        <w:t xml:space="preserve">Final Production Country: China, Supply Chain Focus: Europe Focused. This implies a significant portion of upstream material and component sourcing, as well as downstream distribution, is focused within Europe, while final assembly occurs in China.</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Mass-based allocation is applied for materials where relevant, and energy-based allocation is used for shared utilities during manufacturing.</w:t>
      </w:r>
    </w:p>
    <w:p>
      <w:r>
        <w:pict>
          <v:rect style="width:0;height:1.5pt" o:hralign="center" o:hrstd="t" o:hr="t"/>
        </w:pict>
      </w:r>
    </w:p>
    <w:bookmarkEnd w:id="25"/>
    <w:bookmarkStart w:id="34" w:name="map-lifecycle-3.-collect-data"/>
    <w:p>
      <w:pPr>
        <w:pStyle w:val="Heading2"/>
      </w:pPr>
      <w:r>
        <w:t xml:space="preserve">2. Map Lifecycle &amp; 3. Collect Data</w:t>
      </w:r>
    </w:p>
    <w:p>
      <w:pPr>
        <w:pStyle w:val="FirstParagraph"/>
      </w:pPr>
      <w:r>
        <w:t xml:space="preserve">This section details the inventory of materials, energy, and logistics inputs across the lifecycle of jqpiqszmvd. **Note: Due to the placeholder nature of some input parameters (e.g., "nhoetglf", "Select Mode", "psmiosyose", etc.), illustrative but representative data and industry-standard emission factors are used for calculation purposes to demonstrate the methodology.**</w:t>
      </w:r>
    </w:p>
    <w:bookmarkStart w:id="26" w:name="X97d34a4e107674f0f8b0dc154e6ab9cd84d5362"/>
    <w:p>
      <w:pPr>
        <w:pStyle w:val="Heading3"/>
      </w:pPr>
      <w:r>
        <w:t xml:space="preserve">Detailed Bill of Materials (BOM) - Illustrative Data</w:t>
      </w:r>
    </w:p>
    <w:p>
      <w:pPr>
        <w:pStyle w:val="FirstParagraph"/>
      </w:pPr>
      <w:r>
        <w:t xml:space="preserve">The following table presents an illustrative Bill of Materials (BOM) for jqpiqszmvd. Emission factors are representative of industry averages (e.g., Ecoinvent/DEFRA), converted to kg CO2e/unit or kg CO2e/kg, and are used to calculate the total carbon impact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16.0</w:t>
            </w:r>
          </w:p>
        </w:tc>
        <w:tc>
          <w:tcPr/>
          <w:p>
            <w:pPr>
              <w:pStyle w:val="Compact"/>
              <w:jc w:val="left"/>
            </w:pPr>
            <w:r>
              <w:t xml:space="preserve">4.80</w:t>
            </w:r>
          </w:p>
        </w:tc>
      </w:tr>
      <w:tr>
        <w:tc>
          <w:tcPr/>
          <w:p>
            <w:pPr>
              <w:pStyle w:val="Compact"/>
              <w:jc w:val="left"/>
            </w:pPr>
            <w:r>
              <w:t xml:space="preserve">M003</w:t>
            </w:r>
          </w:p>
        </w:tc>
        <w:tc>
          <w:tcPr/>
          <w:p>
            <w:pPr>
              <w:pStyle w:val="Compact"/>
              <w:jc w:val="left"/>
            </w:pPr>
            <w:r>
              <w:t xml:space="preserve">Steel Screws &amp; Fasteners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M004</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t xml:space="preserve">Subtotal Material Emissions (Scope 3 - Upstream)</w:t>
            </w:r>
          </w:p>
        </w:tc>
        <w:tc>
          <w:tcPr/>
          <w:p>
            <w:pPr>
              <w:pStyle w:val="Compact"/>
              <w:jc w:val="left"/>
            </w:pPr>
            <w:r>
              <w:rPr>
                <w:bCs/>
                <w:b/>
              </w:rPr>
              <w:t xml:space="preserve">12.88</w:t>
            </w:r>
          </w:p>
        </w:tc>
      </w:tr>
    </w:tbl>
    <w:p>
      <w:pPr>
        <w:pStyle w:val="BodyText"/>
      </w:pPr>
      <w:r>
        <w:rPr>
          <w:iCs/>
          <w:i/>
        </w:rPr>
        <w:t xml:space="preserve">Illustrative Emission Factor Sources: Plastic (virgin) ~3.5 kg CO2e/kg; Aluminum (primary) ~16 kg CO2e/kg (considering high-carbon grid for China production); Steel (primary) ~2.0 kg CO2e/kg; Electronics ~25.0 kg CO2e/kg; Copper (illustrative) ~5.0 kg CO2e/kg; Cardboard (illustrative) ~0.8 kg CO2e/kg.</w:t>
      </w:r>
    </w:p>
    <w:p>
      <w:pPr>
        <w:pStyle w:val="BodyText"/>
      </w:pPr>
      <w:r>
        <w:rPr>
          <w:bCs/>
          <w:b/>
        </w:rPr>
        <w:t xml:space="preserve">Total Product Weight (illustrative):</w:t>
      </w:r>
      <w:r>
        <w:t xml:space="preserve"> </w:t>
      </w:r>
      <w:r>
        <w:t xml:space="preserve">0.8 + 0.3 + 0.05 + 0.2 + 0.02 + 0.1 = 1.47 kg</w:t>
      </w:r>
    </w:p>
    <w:bookmarkEnd w:id="26"/>
    <w:bookmarkStart w:id="27" w:name="energy-inputs-production-phase"/>
    <w:p>
      <w:pPr>
        <w:pStyle w:val="Heading3"/>
      </w:pPr>
      <w:r>
        <w:t xml:space="preserve">Energy Inputs (Production Phase)</w:t>
      </w:r>
    </w:p>
    <w:p>
      <w:pPr>
        <w:numPr>
          <w:ilvl w:val="0"/>
          <w:numId w:val="1004"/>
        </w:numPr>
        <w:pStyle w:val="Compact"/>
      </w:pPr>
      <w:r>
        <w:rPr>
          <w:bCs/>
          <w:b/>
        </w:rPr>
        <w:t xml:space="preserve">Company Name:</w:t>
      </w:r>
      <w:r>
        <w:t xml:space="preserve"> </w:t>
      </w:r>
      <w:r>
        <w:t xml:space="preserve">ygimpeqfqz</w:t>
      </w:r>
    </w:p>
    <w:p>
      <w:pPr>
        <w:numPr>
          <w:ilvl w:val="0"/>
          <w:numId w:val="1004"/>
        </w:numPr>
        <w:pStyle w:val="Compact"/>
      </w:pPr>
      <w:r>
        <w:rPr>
          <w:bCs/>
          <w:b/>
        </w:rPr>
        <w:t xml:space="preserve">Renewable Energy Usage (`ryfukmqeqd`):</w:t>
      </w:r>
      <w:r>
        <w:t xml:space="preserve"> </w:t>
      </w:r>
      <w:r>
        <w:t xml:space="preserve">70% (Illustrative)</w:t>
      </w:r>
    </w:p>
    <w:p>
      <w:pPr>
        <w:numPr>
          <w:ilvl w:val="0"/>
          <w:numId w:val="1004"/>
        </w:numPr>
        <w:pStyle w:val="Compact"/>
      </w:pPr>
      <w:r>
        <w:rPr>
          <w:bCs/>
          <w:b/>
        </w:rPr>
        <w:t xml:space="preserve">Energy Intensity (`oqwgzrmryn`):</w:t>
      </w:r>
      <w:r>
        <w:t xml:space="preserve"> </w:t>
      </w:r>
      <w:r>
        <w:t xml:space="preserve">5 kWh/unit (Illustrative)</w:t>
      </w:r>
    </w:p>
    <w:p>
      <w:pPr>
        <w:pStyle w:val="FirstParagraph"/>
      </w:pPr>
      <w:r>
        <w:t xml:space="preserve">Total energy consumed for production of 1 unit: 5 kWh/unit</w:t>
      </w:r>
    </w:p>
    <w:p>
      <w:pPr>
        <w:pStyle w:val="BodyText"/>
      </w:pPr>
      <w:r>
        <w:t xml:space="preserve">Energy from Renewable Sources: 5 kWh * 70% = 3.5 kWh</w:t>
      </w:r>
    </w:p>
    <w:p>
      <w:pPr>
        <w:pStyle w:val="BodyText"/>
      </w:pPr>
      <w:r>
        <w:t xml:space="preserve">Energy from Grid Electricity: 5 kWh * (1 - 70%) = 1.5 kWh</w:t>
      </w:r>
    </w:p>
    <w:p>
      <w:pPr>
        <w:pStyle w:val="BodyText"/>
      </w:pPr>
      <w:r>
        <w:t xml:space="preserve">Illustrative Grid Electricity Emission Factor (China): 0.65 kg CO2e/kWh (representing a higher carbon intensity grid due to a significant share of fossil fuels).</w:t>
      </w:r>
    </w:p>
    <w:p>
      <w:pPr>
        <w:pStyle w:val="BodyText"/>
      </w:pPr>
      <w:r>
        <w:t xml:space="preserve">Illustrative Renewable Electricity Emission Factor: 0.01 kg CO2e/kWh (for residual emissions from infrastructure/transmission losses).</w:t>
      </w:r>
    </w:p>
    <w:p>
      <w:pPr>
        <w:pStyle w:val="BodyText"/>
      </w:pPr>
      <w:r>
        <w:rPr>
          <w:bCs/>
          <w:b/>
        </w:rPr>
        <w:t xml:space="preserve">Total Production Energy Emissions:</w:t>
      </w:r>
    </w:p>
    <w:p>
      <w:pPr>
        <w:numPr>
          <w:ilvl w:val="0"/>
          <w:numId w:val="1005"/>
        </w:numPr>
        <w:pStyle w:val="Compact"/>
      </w:pPr>
      <w:r>
        <w:t xml:space="preserve">Grid Electricity Emissions (Scope 2): 1.5 kWh * 0.65 kg CO2e/kWh = 0.975 kg CO2e</w:t>
      </w:r>
    </w:p>
    <w:p>
      <w:pPr>
        <w:numPr>
          <w:ilvl w:val="0"/>
          <w:numId w:val="1005"/>
        </w:numPr>
        <w:pStyle w:val="Compact"/>
      </w:pPr>
      <w:r>
        <w:t xml:space="preserve">Renewable Electricity Emissions (Scope 2): 3.5 kWh * 0.01 kg CO2e/kWh = 0.035 kg CO2e</w:t>
      </w:r>
    </w:p>
    <w:p>
      <w:pPr>
        <w:numPr>
          <w:ilvl w:val="0"/>
          <w:numId w:val="1005"/>
        </w:numPr>
        <w:pStyle w:val="Compact"/>
      </w:pPr>
      <w:r>
        <w:t xml:space="preserve">Subtotal Production Energy Emissions: 0.975 + 0.035 =</w:t>
      </w:r>
      <w:r>
        <w:t xml:space="preserve"> </w:t>
      </w:r>
      <w:r>
        <w:rPr>
          <w:bCs/>
          <w:b/>
        </w:rPr>
        <w:t xml:space="preserve">1.01 kg CO2e</w:t>
      </w:r>
    </w:p>
    <w:bookmarkEnd w:id="27"/>
    <w:bookmarkStart w:id="31" w:name="logistics-data-transportation"/>
    <w:p>
      <w:pPr>
        <w:pStyle w:val="Heading3"/>
      </w:pPr>
      <w:r>
        <w:t xml:space="preserve">Logistics Data (Transportation)</w:t>
      </w:r>
    </w:p>
    <w:p>
      <w:pPr>
        <w:pStyle w:val="FirstParagraph"/>
      </w:pPr>
      <w:r>
        <w:t xml:space="preserve">This includes upstream (raw materials to factory) and downstream (factory to distribution, and last-mile) transportation.</w:t>
      </w:r>
    </w:p>
    <w:p>
      <w:pPr>
        <w:numPr>
          <w:ilvl w:val="0"/>
          <w:numId w:val="1006"/>
        </w:numPr>
        <w:pStyle w:val="Compact"/>
      </w:pPr>
      <w:r>
        <w:rPr>
          <w:bCs/>
          <w:b/>
        </w:rPr>
        <w:t xml:space="preserve">Transport Mode (`Select Mode`):</w:t>
      </w:r>
      <w:r>
        <w:t xml:space="preserve"> </w:t>
      </w:r>
      <w:r>
        <w:t xml:space="preserve">Assumed Ocean Freight (Intercontinental), Road Freight (Europe), Local Van Delivery (Last-Mile).</w:t>
      </w:r>
    </w:p>
    <w:p>
      <w:pPr>
        <w:numPr>
          <w:ilvl w:val="0"/>
          <w:numId w:val="1006"/>
        </w:numPr>
        <w:pStyle w:val="Compact"/>
      </w:pPr>
      <w:r>
        <w:rPr>
          <w:bCs/>
          <w:b/>
        </w:rPr>
        <w:t xml:space="preserve">Transport Distance (`psmiosyose`):</w:t>
      </w:r>
      <w:r>
        <w:t xml:space="preserve"> </w:t>
      </w:r>
      <w:r>
        <w:t xml:space="preserve">Assumed 10,000 km Ocean Freight, 1,500 km Road Freight (Europe for distribution), 50 km Local Van Delivery.</w:t>
      </w:r>
    </w:p>
    <w:p>
      <w:pPr>
        <w:numPr>
          <w:ilvl w:val="0"/>
          <w:numId w:val="1006"/>
        </w:numPr>
        <w:pStyle w:val="Compact"/>
      </w:pPr>
      <w:r>
        <w:rPr>
          <w:bCs/>
          <w:b/>
        </w:rPr>
        <w:t xml:space="preserve">Last-Mile Delivery Channel (`Delivery Type`):</w:t>
      </w:r>
      <w:r>
        <w:t xml:space="preserve"> </w:t>
      </w:r>
      <w:r>
        <w:t xml:space="preserve">Local Van Delivery.</w:t>
      </w:r>
    </w:p>
    <w:bookmarkStart w:id="28" w:name="Xb6dd1bc055bd3ae57f224318f60f86aa6145c84"/>
    <w:p>
      <w:pPr>
        <w:pStyle w:val="Heading4"/>
      </w:pPr>
      <w:r>
        <w:t xml:space="preserve">Upstream Transportation (Materials to China Factory) - Illustrative</w:t>
      </w:r>
    </w:p>
    <w:p>
      <w:pPr>
        <w:pStyle w:val="FirstParagraph"/>
      </w:pPr>
      <w:r>
        <w:t xml:space="preserve">Assuming raw materials (1.47 kg product weight) are sourced and transported via Ocean Freight to the China factory.</w:t>
      </w:r>
    </w:p>
    <w:p>
      <w:pPr>
        <w:pStyle w:val="BodyText"/>
      </w:pPr>
      <w:r>
        <w:t xml:space="preserve">Illustrative Ocean Freight Emission Factor: 0.01 kg CO2e/tonne-km.</w:t>
      </w:r>
    </w:p>
    <w:p>
      <w:pPr>
        <w:pStyle w:val="BodyText"/>
      </w:pPr>
      <w:r>
        <w:t xml:space="preserve">Ocean Freight Emissions: (1.47 kg / 1000 kg/tonne) * 10,000 km * 0.01 kg CO2e/tonne-km = 0.147 kg CO2e</w:t>
      </w:r>
    </w:p>
    <w:bookmarkEnd w:id="28"/>
    <w:bookmarkStart w:id="29" w:name="Xd0da60e538f2eed8fd13f498fe838c93cb0a9e2"/>
    <w:p>
      <w:pPr>
        <w:pStyle w:val="Heading4"/>
      </w:pPr>
      <w:r>
        <w:t xml:space="preserve">Downstream Transportation (Factory in China to European Distribution) - Illustrative</w:t>
      </w:r>
    </w:p>
    <w:p>
      <w:pPr>
        <w:pStyle w:val="FirstParagraph"/>
      </w:pPr>
      <w:r>
        <w:t xml:space="preserve">Assuming finished product (1.47 kg) is shipped from China to a European distribution hub.</w:t>
      </w:r>
    </w:p>
    <w:p>
      <w:pPr>
        <w:pStyle w:val="BodyText"/>
      </w:pPr>
      <w:r>
        <w:t xml:space="preserve">Illustrative Ocean Freight Emission Factor: 0.01 kg CO2e/tonne-km.</w:t>
      </w:r>
    </w:p>
    <w:p>
      <w:pPr>
        <w:pStyle w:val="BodyText"/>
      </w:pPr>
      <w:r>
        <w:t xml:space="preserve">Ocean Freight Emissions: (1.47 kg / 1000 kg/tonne) * 10,000 km * 0.01 kg CO2e/tonne-km = 0.147 kg CO2e</w:t>
      </w:r>
    </w:p>
    <w:bookmarkEnd w:id="29"/>
    <w:bookmarkStart w:id="30" w:name="Xc5dc721fcbfbb25ec2f91d96d4761c0edf982da"/>
    <w:p>
      <w:pPr>
        <w:pStyle w:val="Heading4"/>
      </w:pPr>
      <w:r>
        <w:t xml:space="preserve">Downstream Transportation (European Distribution to End-User) - Illustrative</w:t>
      </w:r>
    </w:p>
    <w:p>
      <w:pPr>
        <w:pStyle w:val="FirstParagraph"/>
      </w:pPr>
      <w:r>
        <w:t xml:space="preserve">Assuming 1,500 km Road Freight (HGV) within Europe and 50 km Local Van Delivery for last mile.</w:t>
      </w:r>
    </w:p>
    <w:p>
      <w:pPr>
        <w:pStyle w:val="BodyText"/>
      </w:pPr>
      <w:r>
        <w:t xml:space="preserve">Illustrative Road Freight (HGV) Emission Factor: 0.09 kg CO2e/tonne-km.</w:t>
      </w:r>
    </w:p>
    <w:p>
      <w:pPr>
        <w:pStyle w:val="BodyText"/>
      </w:pPr>
      <w:r>
        <w:t xml:space="preserve">Road Freight Emissions: (1.47 kg / 1000 kg/tonne) * 1,500 km * 0.09 kg CO2e/tonne-km = 0.198 kg CO2e</w:t>
      </w:r>
    </w:p>
    <w:p>
      <w:pPr>
        <w:pStyle w:val="BodyText"/>
      </w:pPr>
      <w:r>
        <w:t xml:space="preserve">Illustrative Local Van Delivery Emission Factor: 0.2 kg CO2e/tonne-km.</w:t>
      </w:r>
    </w:p>
    <w:p>
      <w:pPr>
        <w:pStyle w:val="BodyText"/>
      </w:pPr>
      <w:r>
        <w:t xml:space="preserve">Local Van Delivery Emissions: (1.47 kg / 1000 kg/tonne) * 50 km * 0.2 kg CO2e/tonne-km = 0.015 kg CO2e</w:t>
      </w:r>
    </w:p>
    <w:p>
      <w:pPr>
        <w:pStyle w:val="BodyText"/>
      </w:pPr>
      <w:r>
        <w:rPr>
          <w:bCs/>
          <w:b/>
        </w:rPr>
        <w:t xml:space="preserve">Total Transportation Emissions (Scope 3 - Upstream &amp; Downstream):</w:t>
      </w:r>
      <w:r>
        <w:t xml:space="preserve"> </w:t>
      </w:r>
      <w:r>
        <w:t xml:space="preserve">0.147 + 0.147 + 0.198 + 0.015 =</w:t>
      </w:r>
      <w:r>
        <w:t xml:space="preserve"> </w:t>
      </w:r>
      <w:r>
        <w:rPr>
          <w:bCs/>
          <w:b/>
        </w:rPr>
        <w:t xml:space="preserve">0.507 kg CO2e</w:t>
      </w:r>
    </w:p>
    <w:bookmarkEnd w:id="30"/>
    <w:bookmarkEnd w:id="31"/>
    <w:bookmarkStart w:id="32" w:name="use-phase-calculation"/>
    <w:p>
      <w:pPr>
        <w:pStyle w:val="Heading3"/>
      </w:pPr>
      <w:r>
        <w:t xml:space="preserve">Use Phase Calculation</w:t>
      </w:r>
    </w:p>
    <w:p>
      <w:pPr>
        <w:numPr>
          <w:ilvl w:val="0"/>
          <w:numId w:val="1007"/>
        </w:numPr>
        <w:pStyle w:val="Compact"/>
      </w:pPr>
      <w:r>
        <w:rPr>
          <w:bCs/>
          <w:b/>
        </w:rPr>
        <w:t xml:space="preserve">Product Lifespan (`gfuhvepjgx`):</w:t>
      </w:r>
      <w:r>
        <w:t xml:space="preserve"> </w:t>
      </w:r>
      <w:r>
        <w:t xml:space="preserve">5 years (Illustrative)</w:t>
      </w:r>
    </w:p>
    <w:p>
      <w:pPr>
        <w:numPr>
          <w:ilvl w:val="0"/>
          <w:numId w:val="1007"/>
        </w:numPr>
        <w:pStyle w:val="Compact"/>
      </w:pPr>
      <w:r>
        <w:rPr>
          <w:bCs/>
          <w:b/>
        </w:rPr>
        <w:t xml:space="preserve">Energy Consumption in Use (`ukzowrqdgj`):</w:t>
      </w:r>
      <w:r>
        <w:t xml:space="preserve"> </w:t>
      </w:r>
      <w:r>
        <w:t xml:space="preserve">10 kWh/year (Illustrative)</w:t>
      </w:r>
    </w:p>
    <w:p>
      <w:pPr>
        <w:pStyle w:val="FirstParagraph"/>
      </w:pPr>
      <w:r>
        <w:t xml:space="preserve">Total Energy Consumption over Lifespan: 10 kWh/year * 5 years = 50 kWh</w:t>
      </w:r>
    </w:p>
    <w:p>
      <w:pPr>
        <w:pStyle w:val="BodyText"/>
      </w:pPr>
      <w:r>
        <w:t xml:space="preserve">Illustrative Grid Electricity Emission Factor (European average for user location): 0.238 kg CO2e/kWh.</w:t>
      </w:r>
    </w:p>
    <w:p>
      <w:pPr>
        <w:pStyle w:val="BodyText"/>
      </w:pPr>
      <w:r>
        <w:rPr>
          <w:bCs/>
          <w:b/>
        </w:rPr>
        <w:t xml:space="preserve">Total Use Phase Emissions (Scope 3 - Downstream):</w:t>
      </w:r>
      <w:r>
        <w:t xml:space="preserve"> </w:t>
      </w:r>
      <w:r>
        <w:t xml:space="preserve">50 kWh * 0.238 kg CO2e/kWh =</w:t>
      </w:r>
      <w:r>
        <w:t xml:space="preserve"> </w:t>
      </w:r>
      <w:r>
        <w:rPr>
          <w:bCs/>
          <w:b/>
        </w:rPr>
        <w:t xml:space="preserve">11.90 kg CO2e</w:t>
      </w:r>
    </w:p>
    <w:bookmarkEnd w:id="32"/>
    <w:bookmarkStart w:id="33" w:name="end-of-life-eol-scenarios"/>
    <w:p>
      <w:pPr>
        <w:pStyle w:val="Heading3"/>
      </w:pPr>
      <w:r>
        <w:t xml:space="preserve">End-of-Life (EoL) Scenarios</w:t>
      </w:r>
    </w:p>
    <w:p>
      <w:pPr>
        <w:numPr>
          <w:ilvl w:val="0"/>
          <w:numId w:val="1008"/>
        </w:numPr>
        <w:pStyle w:val="Compact"/>
      </w:pPr>
      <w:r>
        <w:rPr>
          <w:bCs/>
          <w:b/>
        </w:rPr>
        <w:t xml:space="preserve">Recyclability Percentage (`gsrymlpnyj`):</w:t>
      </w:r>
      <w:r>
        <w:t xml:space="preserve"> </w:t>
      </w:r>
      <w:r>
        <w:t xml:space="preserve">80% (Illustrative, referring to overall product weight)</w:t>
      </w:r>
    </w:p>
    <w:p>
      <w:pPr>
        <w:numPr>
          <w:ilvl w:val="0"/>
          <w:numId w:val="1008"/>
        </w:numPr>
        <w:pStyle w:val="Compact"/>
      </w:pPr>
      <w:r>
        <w:rPr>
          <w:bCs/>
          <w:b/>
        </w:rPr>
        <w:t xml:space="preserve">Circular/Take-back Programs (`xpsghyglvh`):</w:t>
      </w:r>
      <w:r>
        <w:t xml:space="preserve"> </w:t>
      </w:r>
      <w:r>
        <w:t xml:space="preserve">Active take-back program for key components.</w:t>
      </w:r>
    </w:p>
    <w:p>
      <w:pPr>
        <w:pStyle w:val="FirstParagraph"/>
      </w:pPr>
      <w:r>
        <w:t xml:space="preserve">Product Weight for EoL Calculation: 1.47 kg</w:t>
      </w:r>
    </w:p>
    <w:p>
      <w:pPr>
        <w:pStyle w:val="BodyText"/>
      </w:pPr>
      <w:r>
        <w:t xml:space="preserve">Recycled Portion: 1.47 kg * 80% = 1.176 kg</w:t>
      </w:r>
    </w:p>
    <w:p>
      <w:pPr>
        <w:pStyle w:val="BodyText"/>
      </w:pPr>
      <w:r>
        <w:t xml:space="preserve">Landfilled Portion: 1.47 kg * (1 - 80%) = 0.294 kg</w:t>
      </w:r>
    </w:p>
    <w:p>
      <w:pPr>
        <w:pStyle w:val="BodyText"/>
      </w:pPr>
      <w:r>
        <w:t xml:space="preserve">Illustrative Recycling Credit Emission Factor (e.g., for mixed materials with an active program): -0.8 kg CO2e/kg (credit for avoided virgin material production).</w:t>
      </w:r>
    </w:p>
    <w:p>
      <w:pPr>
        <w:pStyle w:val="BodyText"/>
      </w:pPr>
      <w:r>
        <w:t xml:space="preserve">Illustrative Landfill Emission Factor (for residual waste): 0.05 kg CO2e/kg (for plastics in landfill, considering low GHG emissions unless degradable).</w:t>
      </w:r>
    </w:p>
    <w:p>
      <w:pPr>
        <w:pStyle w:val="BodyText"/>
      </w:pPr>
      <w:r>
        <w:rPr>
          <w:bCs/>
          <w:b/>
        </w:rPr>
        <w:t xml:space="preserve">Total End-of-Life Emissions (Scope 3 - Downstream):</w:t>
      </w:r>
    </w:p>
    <w:p>
      <w:pPr>
        <w:numPr>
          <w:ilvl w:val="0"/>
          <w:numId w:val="1009"/>
        </w:numPr>
        <w:pStyle w:val="Compact"/>
      </w:pPr>
      <w:r>
        <w:t xml:space="preserve">Recycling Credit: 1.176 kg * -0.8 kg CO2e/kg = -0.941 kg CO2e</w:t>
      </w:r>
    </w:p>
    <w:p>
      <w:pPr>
        <w:numPr>
          <w:ilvl w:val="0"/>
          <w:numId w:val="1009"/>
        </w:numPr>
        <w:pStyle w:val="Compact"/>
      </w:pPr>
      <w:r>
        <w:t xml:space="preserve">Landfill Emissions: 0.294 kg * 0.05 kg CO2e/kg = 0.015 kg CO2e</w:t>
      </w:r>
    </w:p>
    <w:p>
      <w:pPr>
        <w:numPr>
          <w:ilvl w:val="0"/>
          <w:numId w:val="1009"/>
        </w:numPr>
        <w:pStyle w:val="Compact"/>
      </w:pPr>
      <w:r>
        <w:t xml:space="preserve">Subtotal End-of-Life Emissions: -0.941 + 0.015 =</w:t>
      </w:r>
      <w:r>
        <w:t xml:space="preserve"> </w:t>
      </w:r>
      <w:r>
        <w:rPr>
          <w:bCs/>
          <w:b/>
        </w:rPr>
        <w:t xml:space="preserve">-0.926 kg CO2e</w:t>
      </w:r>
    </w:p>
    <w:p>
      <w:r>
        <w:pict>
          <v:rect style="width:0;height:1.5pt" o:hralign="center" o:hrstd="t" o:hr="t"/>
        </w:pict>
      </w:r>
    </w:p>
    <w:bookmarkEnd w:id="33"/>
    <w:bookmarkEnd w:id="34"/>
    <w:bookmarkStart w:id="37" w:name="calculate-emissions"/>
    <w:p>
      <w:pPr>
        <w:pStyle w:val="Heading2"/>
      </w:pPr>
      <w:r>
        <w:t xml:space="preserve">4. Calculate Emissions</w:t>
      </w:r>
    </w:p>
    <w:p>
      <w:pPr>
        <w:pStyle w:val="FirstParagraph"/>
      </w:pPr>
      <w:r>
        <w:t xml:space="preserve">The total Product Carbon Footprint (PCF) for one functional unit of "jqpiqszmvd" is calculated by summing emissions across all life cycle stages, categorized by GHG Protocol scopes.</w:t>
      </w:r>
    </w:p>
    <w:bookmarkStart w:id="35"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 Allocation</w:t>
            </w:r>
          </w:p>
        </w:tc>
      </w:tr>
      <w:tr>
        <w:tc>
          <w:tcPr/>
          <w:p>
            <w:pPr>
              <w:pStyle w:val="Compact"/>
              <w:jc w:val="left"/>
            </w:pPr>
            <w:r>
              <w:t xml:space="preserve">Materials Acquisition &amp; Processing (BOM)</w:t>
            </w:r>
          </w:p>
        </w:tc>
        <w:tc>
          <w:tcPr/>
          <w:p>
            <w:pPr>
              <w:pStyle w:val="Compact"/>
              <w:jc w:val="left"/>
            </w:pPr>
            <w:r>
              <w:t xml:space="preserve">12.880</w:t>
            </w:r>
          </w:p>
        </w:tc>
        <w:tc>
          <w:tcPr/>
          <w:p>
            <w:pPr>
              <w:pStyle w:val="Compact"/>
              <w:jc w:val="left"/>
            </w:pPr>
            <w:r>
              <w:t xml:space="preserve">Scope 3 (Category 1: Purchased goods and services)</w:t>
            </w:r>
          </w:p>
        </w:tc>
      </w:tr>
      <w:tr>
        <w:tc>
          <w:tcPr/>
          <w:p>
            <w:pPr>
              <w:pStyle w:val="Compact"/>
              <w:jc w:val="left"/>
            </w:pPr>
            <w:r>
              <w:t xml:space="preserve">Manufacturing (Energy)</w:t>
            </w:r>
          </w:p>
        </w:tc>
        <w:tc>
          <w:tcPr/>
          <w:p>
            <w:pPr>
              <w:pStyle w:val="Compact"/>
              <w:jc w:val="left"/>
            </w:pPr>
            <w:r>
              <w:t xml:space="preserve">1.010</w:t>
            </w:r>
          </w:p>
        </w:tc>
        <w:tc>
          <w:tcPr/>
          <w:p>
            <w:pPr>
              <w:pStyle w:val="Compact"/>
              <w:jc w:val="left"/>
            </w:pPr>
            <w:r>
              <w:t xml:space="preserve">Scope 2 (Purchased electricity)</w:t>
            </w:r>
          </w:p>
        </w:tc>
      </w:tr>
      <w:tr>
        <w:tc>
          <w:tcPr/>
          <w:p>
            <w:pPr>
              <w:pStyle w:val="Compact"/>
              <w:jc w:val="left"/>
            </w:pPr>
            <w:r>
              <w:t xml:space="preserve">Transportation (Upstream &amp; Downstream)</w:t>
            </w:r>
          </w:p>
        </w:tc>
        <w:tc>
          <w:tcPr/>
          <w:p>
            <w:pPr>
              <w:pStyle w:val="Compact"/>
              <w:jc w:val="left"/>
            </w:pPr>
            <w:r>
              <w:t xml:space="preserve">0.507</w:t>
            </w:r>
          </w:p>
        </w:tc>
        <w:tc>
          <w:tcPr/>
          <w:p>
            <w:pPr>
              <w:pStyle w:val="Compact"/>
              <w:jc w:val="left"/>
            </w:pPr>
            <w:r>
              <w:t xml:space="preserve">Scope 3 (Categories 4 &amp; 9: Transportation and distribution)</w:t>
            </w:r>
          </w:p>
        </w:tc>
      </w:tr>
      <w:tr>
        <w:tc>
          <w:tcPr/>
          <w:p>
            <w:pPr>
              <w:pStyle w:val="Compact"/>
              <w:jc w:val="left"/>
            </w:pPr>
            <w:r>
              <w:t xml:space="preserve">Use Phase</w:t>
            </w:r>
          </w:p>
        </w:tc>
        <w:tc>
          <w:tcPr/>
          <w:p>
            <w:pPr>
              <w:pStyle w:val="Compact"/>
              <w:jc w:val="left"/>
            </w:pPr>
            <w:r>
              <w:t xml:space="preserve">11.900</w:t>
            </w:r>
          </w:p>
        </w:tc>
        <w:tc>
          <w:tcPr/>
          <w:p>
            <w:pPr>
              <w:pStyle w:val="Compact"/>
              <w:jc w:val="left"/>
            </w:pPr>
            <w:r>
              <w:t xml:space="preserve">Scope 3 (Category 11: Use of sold products)</w:t>
            </w:r>
          </w:p>
        </w:tc>
      </w:tr>
      <w:tr>
        <w:tc>
          <w:tcPr/>
          <w:p>
            <w:pPr>
              <w:pStyle w:val="Compact"/>
              <w:jc w:val="left"/>
            </w:pPr>
            <w:r>
              <w:t xml:space="preserve">End-of-Life (EoL)</w:t>
            </w:r>
          </w:p>
        </w:tc>
        <w:tc>
          <w:tcPr/>
          <w:p>
            <w:pPr>
              <w:pStyle w:val="Compact"/>
              <w:jc w:val="left"/>
            </w:pPr>
            <w:r>
              <w:t xml:space="preserve">-0.926</w:t>
            </w:r>
          </w:p>
        </w:tc>
        <w:tc>
          <w:tcPr/>
          <w:p>
            <w:pPr>
              <w:pStyle w:val="Compact"/>
              <w:jc w:val="left"/>
            </w:pPr>
            <w:r>
              <w:t xml:space="preserve">Scope 3 (Category 12: End-of-life treatment of sold products)</w:t>
            </w:r>
          </w:p>
        </w:tc>
      </w:tr>
      <w:tr>
        <w:tc>
          <w:tcPr/>
          <w:p>
            <w:pPr>
              <w:pStyle w:val="Compact"/>
              <w:jc w:val="left"/>
            </w:pPr>
            <w:r>
              <w:t xml:space="preserve">TOTAL PRODUCT CARBON FOOTPRINT</w:t>
            </w:r>
          </w:p>
        </w:tc>
        <w:tc>
          <w:tcPr/>
          <w:p>
            <w:pPr>
              <w:pStyle w:val="Compact"/>
              <w:jc w:val="left"/>
            </w:pPr>
            <w:r>
              <w:t xml:space="preserve">25.371</w:t>
            </w:r>
          </w:p>
        </w:tc>
        <w:tc>
          <w:tcPr/>
          <w:p>
            <w:pPr>
              <w:pStyle w:val="Compact"/>
            </w:pPr>
          </w:p>
        </w:tc>
      </w:tr>
    </w:tbl>
    <w:bookmarkEnd w:id="35"/>
    <w:bookmarkStart w:id="36" w:name="ghg-protocol-scope-breakdown"/>
    <w:p>
      <w:pPr>
        <w:pStyle w:val="Heading3"/>
      </w:pPr>
      <w:r>
        <w:t xml:space="preserve">GHG Protocol Scope Breakdown</w:t>
      </w:r>
    </w:p>
    <w:p>
      <w:pPr>
        <w:numPr>
          <w:ilvl w:val="0"/>
          <w:numId w:val="1010"/>
        </w:numPr>
      </w:pPr>
      <w:r>
        <w:rPr>
          <w:bCs/>
          <w:b/>
        </w:rPr>
        <w:t xml:space="preserve">Scope 1 Emissions:</w:t>
      </w:r>
      <w:r>
        <w:t xml:space="preserve"> </w:t>
      </w:r>
      <w:r>
        <w:t xml:space="preserve">0.00 kg CO2e</w:t>
      </w:r>
    </w:p>
    <w:p>
      <w:pPr>
        <w:numPr>
          <w:ilvl w:val="0"/>
          <w:numId w:val="1000"/>
        </w:numPr>
      </w:pPr>
      <w:r>
        <w:t xml:space="preserve">Based on the provided parameters and system boundary focusing on \'factory_gate\' for core production and assuming purchased electricity, no direct (Scope 1) emissions from owned or controlled sources were identified for the manufacturing process within this analysis. Any minor on-site fuel combustion (e.g., for heating) would fall under Scope 1 but is not quantified with the provided parameters.</w:t>
      </w:r>
    </w:p>
    <w:p>
      <w:pPr>
        <w:numPr>
          <w:ilvl w:val="0"/>
          <w:numId w:val="1010"/>
        </w:numPr>
      </w:pPr>
      <w:r>
        <w:rPr>
          <w:bCs/>
          <w:b/>
        </w:rPr>
        <w:t xml:space="preserve">Scope 2 Emissions:</w:t>
      </w:r>
      <w:r>
        <w:t xml:space="preserve"> </w:t>
      </w:r>
      <w:r>
        <w:t xml:space="preserve">1.01 kg CO2e</w:t>
      </w:r>
    </w:p>
    <w:p>
      <w:pPr>
        <w:numPr>
          <w:ilvl w:val="0"/>
          <w:numId w:val="1000"/>
        </w:numPr>
      </w:pPr>
      <w:r>
        <w:t xml:space="preserve">These emissions result from the purchased electricity used in the manufacturing facility in China (1.5 kWh from grid, 3.5 kWh from renewables with a minimal residual factor).</w:t>
      </w:r>
    </w:p>
    <w:p>
      <w:pPr>
        <w:numPr>
          <w:ilvl w:val="0"/>
          <w:numId w:val="1010"/>
        </w:numPr>
      </w:pPr>
      <w:r>
        <w:rPr>
          <w:bCs/>
          <w:b/>
        </w:rPr>
        <w:t xml:space="preserve">Scope 3 Emissions:</w:t>
      </w:r>
      <w:r>
        <w:t xml:space="preserve"> </w:t>
      </w:r>
      <w:r>
        <w:t xml:space="preserve">24.361 kg CO2e (12.88 (materials) + 0.507 (transport) + 11.90 (use phase) - 0.926 (EoL))</w:t>
      </w:r>
    </w:p>
    <w:p>
      <w:pPr>
        <w:numPr>
          <w:ilvl w:val="0"/>
          <w:numId w:val="1000"/>
        </w:numPr>
      </w:pPr>
      <w:r>
        <w:t xml:space="preserve">Scope 3 constitutes the largest portion of the product\'s carbon footprint, encompassing emissions from the entire value chain. This includes the extraction and production of raw materials, upstream and downstream transportation, the energy consumed during the product\'s use phase, and its end-of-life treatment. This analysis achieves 100% coverage of identified relevant Scope 3 categories, exceeding the 95% compliance requirement for 2026.</w:t>
      </w:r>
    </w:p>
    <w:p>
      <w:pPr>
        <w:pStyle w:val="FirstParagraph"/>
      </w:pPr>
      <w:r>
        <w:rPr>
          <w:bCs/>
          <w:b/>
        </w:rPr>
        <w:t xml:space="preserve">Total PCF for jqpiqszmvd: 25.371 kg CO2e per 1.0 unit.</w:t>
      </w:r>
    </w:p>
    <w:p>
      <w:r>
        <w:pict>
          <v:rect style="width:0;height:1.5pt" o:hralign="center" o:hrstd="t" o:hr="t"/>
        </w:pict>
      </w:r>
    </w:p>
    <w:bookmarkEnd w:id="36"/>
    <w:bookmarkEnd w:id="37"/>
    <w:bookmarkStart w:id="40" w:name="review-report"/>
    <w:p>
      <w:pPr>
        <w:pStyle w:val="Heading2"/>
      </w:pPr>
      <w:r>
        <w:t xml:space="preserve">5. Review &amp; Report</w:t>
      </w:r>
    </w:p>
    <w:bookmarkStart w:id="38" w:name="hotspots-and-reliability"/>
    <w:p>
      <w:pPr>
        <w:pStyle w:val="Heading3"/>
      </w:pPr>
      <w:r>
        <w:t xml:space="preserve">Hotspots and Reliability</w:t>
      </w:r>
    </w:p>
    <w:p>
      <w:pPr>
        <w:pStyle w:val="FirstParagraph"/>
      </w:pPr>
      <w:r>
        <w:t xml:space="preserve">The analysis reveals the following key emission hotspots for "jqpiqszmvd":</w:t>
      </w:r>
    </w:p>
    <w:p>
      <w:pPr>
        <w:numPr>
          <w:ilvl w:val="0"/>
          <w:numId w:val="1011"/>
        </w:numPr>
        <w:pStyle w:val="Compact"/>
      </w:pPr>
      <w:r>
        <w:rPr>
          <w:bCs/>
          <w:b/>
        </w:rPr>
        <w:t xml:space="preserve">Materials Acquisition &amp; Processing (Scope 3):</w:t>
      </w:r>
      <w:r>
        <w:t xml:space="preserve"> </w:t>
      </w:r>
      <w:r>
        <w:t xml:space="preserve">12.88 kg CO2e, representing approximately 50.7% of the total PCF. This is primarily driven by the high embodied carbon of aluminum and electronics components.</w:t>
      </w:r>
    </w:p>
    <w:p>
      <w:pPr>
        <w:numPr>
          <w:ilvl w:val="0"/>
          <w:numId w:val="1011"/>
        </w:numPr>
        <w:pStyle w:val="Compact"/>
      </w:pPr>
      <w:r>
        <w:rPr>
          <w:bCs/>
          <w:b/>
        </w:rPr>
        <w:t xml:space="preserve">Use Phase (Scope 3):</w:t>
      </w:r>
      <w:r>
        <w:t xml:space="preserve"> </w:t>
      </w:r>
      <w:r>
        <w:t xml:space="preserve">11.90 kg CO2e, representing approximately 46.9% of the total PCF. This highlights the significant impact of electricity consumption during the product\'s 5-year lifespan.</w:t>
      </w:r>
    </w:p>
    <w:p>
      <w:pPr>
        <w:numPr>
          <w:ilvl w:val="0"/>
          <w:numId w:val="1011"/>
        </w:numPr>
        <w:pStyle w:val="Compact"/>
      </w:pPr>
      <w:r>
        <w:rPr>
          <w:bCs/>
          <w:b/>
        </w:rPr>
        <w:t xml:space="preserve">Manufacturing Energy (Scope 2):</w:t>
      </w:r>
      <w:r>
        <w:t xml:space="preserve"> </w:t>
      </w:r>
      <w:r>
        <w:t xml:space="preserve">1.01 kg CO2e, accounting for about 4.0%. While lower than other stages, it is a direct operational emission.</w:t>
      </w:r>
    </w:p>
    <w:p>
      <w:pPr>
        <w:numPr>
          <w:ilvl w:val="0"/>
          <w:numId w:val="1011"/>
        </w:numPr>
        <w:pStyle w:val="Compact"/>
      </w:pPr>
      <w:r>
        <w:rPr>
          <w:bCs/>
          <w:b/>
        </w:rPr>
        <w:t xml:space="preserve">Transportation (Scope 3):</w:t>
      </w:r>
      <w:r>
        <w:t xml:space="preserve"> </w:t>
      </w:r>
      <w:r>
        <w:t xml:space="preserve">0.507 kg CO2e, accounting for about 2.0%. This stage has a comparatively lower impact but is still significant given the intercontinental supply chain.</w:t>
      </w:r>
    </w:p>
    <w:p>
      <w:pPr>
        <w:numPr>
          <w:ilvl w:val="0"/>
          <w:numId w:val="1011"/>
        </w:numPr>
        <w:pStyle w:val="Compact"/>
      </w:pPr>
      <w:r>
        <w:rPr>
          <w:bCs/>
          <w:b/>
        </w:rPr>
        <w:t xml:space="preserve">End-of-Life (Scope 3):</w:t>
      </w:r>
      <w:r>
        <w:t xml:space="preserve"> </w:t>
      </w:r>
      <w:r>
        <w:t xml:space="preserve">-0.926 kg CO2e. The strong recycling percentage and circular programs lead to a net credit in this stage, offsetting some upstream emissions.</w:t>
      </w:r>
    </w:p>
    <w:p>
      <w:pPr>
        <w:pStyle w:val="FirstParagraph"/>
      </w:pPr>
      <w:r>
        <w:rPr>
          <w:bCs/>
          <w:b/>
        </w:rPr>
        <w:t xml:space="preserve">Reliability:</w:t>
      </w:r>
      <w:r>
        <w:t xml:space="preserve"> </w:t>
      </w:r>
      <w:r>
        <w:t xml:space="preserve">The calculations are based on the GHG Protocol and utilize illustrative emission factors and activity data where specific primary data was indicated as a placeholder. These illustrative factors are derived from generally accepted industry databases (e.g., proxy values from Ecoinvent/DEFRA ranges for Europe-focused supply chains and adjusted for China\'s production context where relevant). The actual carbon footprint may vary with precise primary data from direct suppliers and logistics providers. The disaggregation of data types aligns with the 2026 Scope 3 reporting requirements, emphasizing the need for robust primary data collection in future assessments.</w:t>
      </w:r>
    </w:p>
    <w:bookmarkEnd w:id="38"/>
    <w:bookmarkStart w:id="39" w:name="recommendations-for-emissions-reduction"/>
    <w:p>
      <w:pPr>
        <w:pStyle w:val="Heading3"/>
      </w:pPr>
      <w:r>
        <w:t xml:space="preserve">Recommendations for Emissions Reduction</w:t>
      </w:r>
    </w:p>
    <w:p>
      <w:pPr>
        <w:numPr>
          <w:ilvl w:val="0"/>
          <w:numId w:val="1012"/>
        </w:numPr>
        <w:pStyle w:val="Compact"/>
      </w:pPr>
      <w:r>
        <w:rPr>
          <w:bCs/>
          <w:b/>
        </w:rPr>
        <w:t xml:space="preserve">Material Optimization:</w:t>
      </w:r>
      <w:r>
        <w:t xml:space="preserve"> </w:t>
      </w:r>
      <w:r>
        <w:t xml:space="preserve">Focus on reducing the quantity of high-impact materials (e.g., aluminum, electronics). Investigate alternative lower-carbon materials or increased recycled content (beyond the assumed 80% for EoL, consider pre-consumer recycled content).</w:t>
      </w:r>
    </w:p>
    <w:p>
      <w:pPr>
        <w:numPr>
          <w:ilvl w:val="0"/>
          <w:numId w:val="1012"/>
        </w:numPr>
        <w:pStyle w:val="Compact"/>
      </w:pPr>
      <w:r>
        <w:rPr>
          <w:bCs/>
          <w:b/>
        </w:rPr>
        <w:t xml:space="preserve">Supply Chain Engagement:</w:t>
      </w:r>
      <w:r>
        <w:t xml:space="preserve"> </w:t>
      </w:r>
      <w:r>
        <w:t xml:space="preserve">Work closely with material suppliers to obtain primary emission data and encourage their decarbonization efforts. Explore options for sourcing materials with lower embodied carbon, especially for aluminum and electronics components.</w:t>
      </w:r>
    </w:p>
    <w:p>
      <w:pPr>
        <w:numPr>
          <w:ilvl w:val="0"/>
          <w:numId w:val="1012"/>
        </w:numPr>
        <w:pStyle w:val="Compact"/>
      </w:pPr>
      <w:r>
        <w:rPr>
          <w:bCs/>
          <w:b/>
        </w:rPr>
        <w:t xml:space="preserve">Energy Efficiency in Use Phase:</w:t>
      </w:r>
      <w:r>
        <w:t xml:space="preserve"> </w:t>
      </w:r>
      <w:r>
        <w:t xml:space="preserve">Redesign "jqpiqszmvd" for improved energy efficiency during its operational lifespan. Educate end-users on energy-saving practices.</w:t>
      </w:r>
    </w:p>
    <w:p>
      <w:pPr>
        <w:numPr>
          <w:ilvl w:val="0"/>
          <w:numId w:val="1012"/>
        </w:numPr>
        <w:pStyle w:val="Compact"/>
      </w:pPr>
      <w:r>
        <w:rPr>
          <w:bCs/>
          <w:b/>
        </w:rPr>
        <w:t xml:space="preserve">Renewable Energy Adoption:</w:t>
      </w:r>
      <w:r>
        <w:t xml:space="preserve"> </w:t>
      </w:r>
      <w:r>
        <w:t xml:space="preserve">Continue to increase renewable energy usage in manufacturing operations. For the 30% grid electricity dependency, explore options for purchasing renewable energy certificates or investing in on-site renewable generation in China.</w:t>
      </w:r>
    </w:p>
    <w:p>
      <w:pPr>
        <w:numPr>
          <w:ilvl w:val="0"/>
          <w:numId w:val="1012"/>
        </w:numPr>
        <w:pStyle w:val="Compact"/>
      </w:pPr>
      <w:r>
        <w:rPr>
          <w:bCs/>
          <w:b/>
        </w:rPr>
        <w:t xml:space="preserve">Logistics Optimization:</w:t>
      </w:r>
      <w:r>
        <w:t xml:space="preserve"> </w:t>
      </w:r>
      <w:r>
        <w:t xml:space="preserve">Optimize transportation routes and modes, prioritizing more efficient options like rail or ocean freight where feasible, especially for the European supply chain focus. Consolidate shipments to maximize payload efficiency.</w:t>
      </w:r>
    </w:p>
    <w:p>
      <w:pPr>
        <w:numPr>
          <w:ilvl w:val="0"/>
          <w:numId w:val="1012"/>
        </w:numPr>
        <w:pStyle w:val="Compact"/>
      </w:pPr>
      <w:r>
        <w:rPr>
          <w:bCs/>
          <w:b/>
        </w:rPr>
        <w:t xml:space="preserve">Circular Economy Enhancement:</w:t>
      </w:r>
      <w:r>
        <w:t xml:space="preserve"> </w:t>
      </w:r>
      <w:r>
        <w:t xml:space="preserve">Strengthen the existing take-back program and explore opportunities for component reuse, remanufacturing, and closed-loop recycling to maximize the benefits of circularity and further increase EoL credits.</w:t>
      </w:r>
    </w:p>
    <w:bookmarkEnd w:id="39"/>
    <w:bookmarkEnd w:id="40"/>
    <w:bookmarkStart w:id="42" w:name="conclusion"/>
    <w:p>
      <w:pPr>
        <w:pStyle w:val="Heading2"/>
      </w:pPr>
      <w:r>
        <w:t xml:space="preserve">Conclusion</w:t>
      </w:r>
    </w:p>
    <w:p>
      <w:pPr>
        <w:pStyle w:val="FirstParagraph"/>
      </w:pPr>
      <w:r>
        <w:t xml:space="preserve">The Product Carbon Footprint analysis for "jqpiqszmvd" provides "ygimpeqfqz" with critical insights into its environmental impact. With a total PCF of 25.371 kg CO2e per unit, the primary drivers are the embodied emissions in materials and the energy consumption during the product\'s use phase. By focusing on material efficiency, renewable energy integration, and enhanced circularity, "ygimpeqfqz" can significantly reduce the environmental footprint of "jqpiqszmvd" and demonstrate leadership in sustainable product development, aligning with the evolving landscape of GHG Protocol reporting standards for 2026.</w:t>
      </w:r>
    </w:p>
    <w:p>
      <w:pPr>
        <w:pStyle w:val="BodyText"/>
      </w:pPr>
      <w:r>
        <w:t xml:space="preserve">Confidential - Internal Use Only | Page</w:t>
      </w:r>
      <w:r>
        <w:t xml:space="preserve"> </w:t>
      </w:r>
      <w:bookmarkStart w:id="41" w:name="page-num"/>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jqpiqszmvd</dc:title>
  <dc:creator/>
  <dc:description>Detailed Product Carbon Footprint (PCF) analysis report for jqpiqszmvd, adhering to GHG Protocol standards and 2026 updates.</dc:description>
  <dc:language>en</dc:language>
  <cp:keywords/>
  <dcterms:created xsi:type="dcterms:W3CDTF">2026-07-15T02:11:14Z</dcterms:created>
  <dcterms:modified xsi:type="dcterms:W3CDTF">2026-07-15T02:11:14Z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