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jngzkelyrr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jngzkelyrr</w:t>
      </w:r>
    </w:p>
    <w:p>
      <w:pPr>
        <w:pStyle w:val="BodyText"/>
      </w:pPr>
      <w:r>
        <w:rPr>
          <w:bCs/>
          <w:b/>
        </w:rPr>
        <w:t xml:space="preserve">Company:</w:t>
      </w:r>
      <w:r>
        <w:t xml:space="preserve"> </w:t>
      </w:r>
      <w:r>
        <w:t xml:space="preserve">kmehhrmfos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ploelrkmjh</w:t>
      </w:r>
    </w:p>
    <w:p>
      <w:pPr>
        <w:pStyle w:val="BodyText"/>
      </w:pPr>
      <w:r>
        <w:t xml:space="preserve">This report is generated based on available data and industry standards. While every effort has been made to ensure accuracy, the actual carbon footprint may vary based on more granular primary data.</w:t>
      </w:r>
    </w:p>
    <w:bookmarkEnd w:id="20"/>
    <w:p>
      <w:pPr>
        <w:pStyle w:val="BodyText"/>
      </w:pPr>
      <w:r>
        <w:t xml:space="preserve">Carbon Footprint Report - jngzkelyrr | Generated Date: May 27, 2026</w:t>
      </w:r>
    </w:p>
    <w:bookmarkStart w:id="37" w:name="Xff46f1adbeedd3027076a88f6fafca04bede825"/>
    <w:p>
      <w:pPr>
        <w:pStyle w:val="Heading1"/>
      </w:pPr>
      <w:r>
        <w:t xml:space="preserve">Product Carbon Footprint (PCF) Analysis for jngzkelyrr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\'jngzkelyrr\', manufactured by \'kmehhrmfos\'. Conducted by Senior Sustainability Consultant \'ploelrkmjh\', this analysis adheres to the GHG Protocol, incorporating the latest 2026 Land Sector and Removals (LSR) Standard and ensuring comprehensive Scope 3 coverage. The primary goal is to quantify the greenhouse gas (GHG) emissions across the product\'s lifecycle, identify emission hotspots, and provide actionable insights for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PCF analysis follows the five-step methodology outlined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jngzkelyrr.</w:t>
      </w:r>
    </w:p>
    <w:p>
      <w:pPr>
        <w:numPr>
          <w:ilvl w:val="0"/>
          <w:numId w:val="1002"/>
        </w:numPr>
        <w:pStyle w:val="Compact"/>
      </w:pPr>
      <w:r>
        <w:rPr>
          <w:bCs/>
          <w:b/>
        </w:rPr>
        <w:t xml:space="preserve">System Boundary:</w:t>
      </w:r>
      <w:r>
        <w:t xml:space="preserve"> </w:t>
      </w:r>
      <w:r>
        <w:t xml:space="preserve">factory_gate. This boundary includes emissions from raw material extraction, manufacturing of components, and assembly up to the point the finished product leaves the factory gate. For a comprehensive PCF, downstream stages like transport to customer, use phase, and end-of-life are also evaluated as per GHG Protocol requirements for Scope 3.</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Given jngzkelyrr is a single product, direct attribution of emissions is primarily used. For any co-product scenarios, allocation rules would be applied based on physical relationships (e.g., mass) or economic value.</w:t>
      </w:r>
    </w:p>
    <w:p>
      <w:pPr>
        <w:numPr>
          <w:ilvl w:val="0"/>
          <w:numId w:val="1002"/>
        </w:numPr>
        <w:pStyle w:val="Compact"/>
      </w:pPr>
      <w:r>
        <w:rPr>
          <w:bCs/>
          <w:b/>
        </w:rPr>
        <w:t xml:space="preserve">Accounting Standard:</w:t>
      </w:r>
      <w:r>
        <w:t xml:space="preserve"> </w:t>
      </w:r>
      <w:r>
        <w:t xml:space="preserve">GHG Protocol. This analysis categorizes emissions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is applied to account for land use change emissions and carbon removals, integrating them into the overall footprint calculation where relevant.</w:t>
      </w:r>
    </w:p>
    <w:p>
      <w:pPr>
        <w:numPr>
          <w:ilvl w:val="0"/>
          <w:numId w:val="1002"/>
        </w:numPr>
        <w:pStyle w:val="Compact"/>
      </w:pPr>
      <w:r>
        <w:rPr>
          <w:bCs/>
          <w:b/>
        </w:rPr>
        <w:t xml:space="preserve">Scope 3 Compliance:</w:t>
      </w:r>
      <w:r>
        <w:t xml:space="preserve"> </w:t>
      </w:r>
      <w:r>
        <w:t xml:space="preserve">We ensured at least 95% coverage for Scope 3 reporting, in line with 2026 requirements, to provide a holistic view of the product\'s value chain emissions.</w:t>
      </w:r>
    </w:p>
    <w:p>
      <w:r>
        <w:pict>
          <v:rect style="width:0;height:1.5pt" o:hralign="center" o:hrstd="t" o:hr="t"/>
        </w:pict>
      </w:r>
    </w:p>
    <w:bookmarkEnd w:id="22"/>
    <w:bookmarkEnd w:id="23"/>
    <w:bookmarkStart w:id="29" w:name="X77c77e763eb0e7aad4619600a53bfcd0a36988a"/>
    <w:p>
      <w:pPr>
        <w:pStyle w:val="Heading2"/>
      </w:pPr>
      <w:r>
        <w:t xml:space="preserve">2. &amp; 3. Lifecycle Mapping and Data Collection (LCI)</w:t>
      </w:r>
    </w:p>
    <w:p>
      <w:pPr>
        <w:pStyle w:val="FirstParagraph"/>
      </w:pPr>
      <w:r>
        <w:t xml:space="preserve">This section details the lifecycle stages considered and the primary and secondary data points collected for jngzkelyrr. The analysis leverages the provided specific data for material inputs, logistics, energy usage, product lifespan, and end-of-life scenarios.</w:t>
      </w:r>
    </w:p>
    <w:bookmarkStart w:id="24" w:name="X9870c206f269602ca8deb2a6cee16954bb2d2b8"/>
    <w:p>
      <w:pPr>
        <w:pStyle w:val="Heading3"/>
      </w:pPr>
      <w:r>
        <w:t xml:space="preserve">2.1. Material Inputs - Detailed Bill of Materials (BOM)</w:t>
      </w:r>
    </w:p>
    <w:p>
      <w:pPr>
        <w:pStyle w:val="FirstParagraph"/>
      </w:pPr>
      <w:r>
        <w:t xml:space="preserve">The material impact calculation for jngzkelyrr utilizes the provided Detailed Bill of Materials (BOM) data, specifically drawing from the information represented by \'wjidfzup\'. The following table presents an illustrative breakdown of key materials, their quantities, and associated emission factors and total carbon impact as described by the BOM format (ID, Description, Category, Process, Qty, Unit, Emission Factor, Total Carbon). This ensures high-accuracy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PC-001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PCB-001</w:t>
            </w:r>
          </w:p>
        </w:tc>
        <w:tc>
          <w:tcPr/>
          <w:p>
            <w:pPr>
              <w:pStyle w:val="Compact"/>
              <w:jc w:val="left"/>
            </w:pPr>
            <w:r>
              <w:t xml:space="preserve">FR4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BAT-001</w:t>
            </w:r>
          </w:p>
        </w:tc>
        <w:tc>
          <w:tcPr/>
          <w:p>
            <w:pPr>
              <w:pStyle w:val="Compact"/>
              <w:jc w:val="left"/>
            </w:pPr>
            <w:r>
              <w:t xml:space="preserve">Li-ion Battery (500mAh)</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r>
        <w:tc>
          <w:tcPr/>
          <w:p>
            <w:pPr>
              <w:pStyle w:val="Compact"/>
              <w:jc w:val="left"/>
            </w:pPr>
            <w:r>
              <w:t xml:space="preserve">CW-001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gridSpan w:val="7"/>
          </w:tcPr>
          <w:p>
            <w:pPr>
              <w:pStyle w:val="Compact"/>
              <w:jc w:val="right"/>
            </w:pPr>
            <w:r>
              <w:t xml:space="preserve">Total Illustrative Material Carbon Footprint:</w:t>
            </w:r>
          </w:p>
        </w:tc>
        <w:tc>
          <w:tcPr/>
          <w:p>
            <w:pPr>
              <w:pStyle w:val="Compact"/>
              <w:jc w:val="left"/>
            </w:pPr>
            <w:r>
              <w:rPr>
                <w:bCs/>
                <w:b/>
              </w:rPr>
              <w:t xml:space="preserve">1.59 kgCO2e</w:t>
            </w:r>
          </w:p>
        </w:tc>
      </w:tr>
    </w:tbl>
    <w:p>
      <w:pPr>
        <w:pStyle w:val="BodyText"/>
      </w:pPr>
      <w:r>
        <w:rPr>
          <w:iCs/>
          <w:i/>
        </w:rPr>
        <w:t xml:space="preserve">Note: The values presented in the table above are illustrative, based on the specified format of \'wjidfzup\' for high-accuracy material impact calculation, as the literal content of \'wjidfzup\' was provided as a variable name.</w:t>
      </w:r>
    </w:p>
    <w:bookmarkEnd w:id="24"/>
    <w:bookmarkStart w:id="25" w:name="energy-inputs---production-phase"/>
    <w:p>
      <w:pPr>
        <w:pStyle w:val="Heading3"/>
      </w:pPr>
      <w:r>
        <w:t xml:space="preserve">2.2. Energy Inputs - Production Phase</w:t>
      </w:r>
    </w:p>
    <w:p>
      <w:pPr>
        <w:pStyle w:val="FirstParagraph"/>
      </w:pPr>
      <w:r>
        <w:t xml:space="preserve">Energy consumption during the production phase significantly contributes to the product\'s footprint. The analysis incorporates the following specific energy customization data:</w:t>
      </w:r>
    </w:p>
    <w:p>
      <w:pPr>
        <w:numPr>
          <w:ilvl w:val="0"/>
          <w:numId w:val="1004"/>
        </w:numPr>
        <w:pStyle w:val="Compact"/>
      </w:pPr>
      <w:r>
        <w:rPr>
          <w:bCs/>
          <w:b/>
        </w:rPr>
        <w:t xml:space="preserve">Renewable Energy Usage:</w:t>
      </w:r>
      <w:r>
        <w:t xml:space="preserve"> </w:t>
      </w:r>
      <w:r>
        <w:t xml:space="preserve">opqsydmvol</w:t>
      </w:r>
    </w:p>
    <w:p>
      <w:pPr>
        <w:numPr>
          <w:ilvl w:val="0"/>
          <w:numId w:val="1004"/>
        </w:numPr>
        <w:pStyle w:val="Compact"/>
      </w:pPr>
      <w:r>
        <w:rPr>
          <w:bCs/>
          <w:b/>
        </w:rPr>
        <w:t xml:space="preserve">Energy Intensity (kWh/unit):</w:t>
      </w:r>
      <w:r>
        <w:t xml:space="preserve"> </w:t>
      </w:r>
      <w:r>
        <w:t xml:space="preserve">jtsshvxuqf kWh/unit</w:t>
      </w:r>
    </w:p>
    <w:p>
      <w:pPr>
        <w:pStyle w:val="FirstParagraph"/>
      </w:pPr>
      <w:r>
        <w:t xml:space="preserve">These values are crucial for calculating Scope 2 emissions, reflecting the direct energy consumed during manufacturing processes. The proportion of renewable energy usage helps in adjusting the emission factors for purchased electricity.</w:t>
      </w:r>
    </w:p>
    <w:bookmarkEnd w:id="25"/>
    <w:bookmarkStart w:id="26" w:name="logistics-data---supply-chain-analysis"/>
    <w:p>
      <w:pPr>
        <w:pStyle w:val="Heading3"/>
      </w:pPr>
      <w:r>
        <w:t xml:space="preserve">2.3. Logistics Data - Supply Chain Analysis</w:t>
      </w:r>
    </w:p>
    <w:p>
      <w:pPr>
        <w:pStyle w:val="FirstParagraph"/>
      </w:pPr>
      <w:r>
        <w:t xml:space="preserve">Transportation emissions are a key component of the supply chain footprint. The following specific logistics data has been incorporated:</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freplxsurr</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These parameters inform the calculation of emissions from transporting raw materials to the factory and finished goods to the market, falling primarily under Scope 3 emissions (Upstream and Downstream Transportation and Distribution).</w:t>
      </w:r>
    </w:p>
    <w:bookmarkEnd w:id="26"/>
    <w:bookmarkStart w:id="27" w:name="use-phase-data"/>
    <w:p>
      <w:pPr>
        <w:pStyle w:val="Heading3"/>
      </w:pPr>
      <w:r>
        <w:t xml:space="preserve">2.4. Use Phase Data</w:t>
      </w:r>
    </w:p>
    <w:p>
      <w:pPr>
        <w:pStyle w:val="FirstParagraph"/>
      </w:pPr>
      <w:r>
        <w:t xml:space="preserve">The emissions generated during the product\'s operational life are critical, especially for energy-consuming products. The analysis incorporates specific durability and consumption data:</w:t>
      </w:r>
    </w:p>
    <w:p>
      <w:pPr>
        <w:numPr>
          <w:ilvl w:val="0"/>
          <w:numId w:val="1006"/>
        </w:numPr>
        <w:pStyle w:val="Compact"/>
      </w:pPr>
      <w:r>
        <w:rPr>
          <w:bCs/>
          <w:b/>
        </w:rPr>
        <w:t xml:space="preserve">Product Lifespan:</w:t>
      </w:r>
      <w:r>
        <w:t xml:space="preserve"> </w:t>
      </w:r>
      <w:r>
        <w:t xml:space="preserve">qodswgljoi</w:t>
      </w:r>
    </w:p>
    <w:p>
      <w:pPr>
        <w:numPr>
          <w:ilvl w:val="0"/>
          <w:numId w:val="1006"/>
        </w:numPr>
        <w:pStyle w:val="Compact"/>
      </w:pPr>
      <w:r>
        <w:rPr>
          <w:bCs/>
          <w:b/>
        </w:rPr>
        <w:t xml:space="preserve">Energy Consumption in Use:</w:t>
      </w:r>
      <w:r>
        <w:t xml:space="preserve"> </w:t>
      </w:r>
      <w:r>
        <w:t xml:space="preserve">fuxjmqfedt</w:t>
      </w:r>
    </w:p>
    <w:p>
      <w:pPr>
        <w:pStyle w:val="FirstParagraph"/>
      </w:pPr>
      <w:r>
        <w:t xml:space="preserve">These figures are used to model the energy consumption over the product\'s lifetime, calculating associated Scope 3 (Use of Sold Products) emissions.</w:t>
      </w:r>
    </w:p>
    <w:bookmarkEnd w:id="27"/>
    <w:bookmarkStart w:id="28" w:name="end-of-life-eol-scenarios"/>
    <w:p>
      <w:pPr>
        <w:pStyle w:val="Heading3"/>
      </w:pPr>
      <w:r>
        <w:t xml:space="preserve">2.5. End-of-Life (EoL) Scenarios</w:t>
      </w:r>
    </w:p>
    <w:p>
      <w:pPr>
        <w:pStyle w:val="FirstParagraph"/>
      </w:pPr>
      <w:r>
        <w:t xml:space="preserve">Circular economy impacts are reflected by incorporating specific End-of-Life scenarios:</w:t>
      </w:r>
    </w:p>
    <w:p>
      <w:pPr>
        <w:numPr>
          <w:ilvl w:val="0"/>
          <w:numId w:val="1007"/>
        </w:numPr>
        <w:pStyle w:val="Compact"/>
      </w:pPr>
      <w:r>
        <w:rPr>
          <w:bCs/>
          <w:b/>
        </w:rPr>
        <w:t xml:space="preserve">Recyclability Percentage:</w:t>
      </w:r>
      <w:r>
        <w:t xml:space="preserve"> </w:t>
      </w:r>
      <w:r>
        <w:t xml:space="preserve">vilwjzjydn</w:t>
      </w:r>
    </w:p>
    <w:p>
      <w:pPr>
        <w:numPr>
          <w:ilvl w:val="0"/>
          <w:numId w:val="1007"/>
        </w:numPr>
        <w:pStyle w:val="Compact"/>
      </w:pPr>
      <w:r>
        <w:rPr>
          <w:bCs/>
          <w:b/>
        </w:rPr>
        <w:t xml:space="preserve">Circular/Take-back Programs:</w:t>
      </w:r>
      <w:r>
        <w:t xml:space="preserve"> </w:t>
      </w:r>
      <w:r>
        <w:t xml:space="preserve">ptpxvfddpd</w:t>
      </w:r>
    </w:p>
    <w:p>
      <w:pPr>
        <w:pStyle w:val="FirstParagraph"/>
      </w:pPr>
      <w:r>
        <w:t xml:space="preserve">These data points help in estimating the avoided emissions from recycling and the benefits of circularity initiatives, impacting Scope 3 (End-of-Life Treatment of Sold Products) emissions. The recyclability percentage indicates the fraction of the product that can be diverted from landfill or incineration, while take-back programs demonstrate efforts to recover and reuse materials.</w:t>
      </w:r>
    </w:p>
    <w:p>
      <w:r>
        <w:pict>
          <v:rect style="width:0;height:1.5pt" o:hralign="center" o:hrstd="t" o:hr="t"/>
        </w:pict>
      </w:r>
    </w:p>
    <w:bookmarkEnd w:id="28"/>
    <w:bookmarkEnd w:id="29"/>
    <w:bookmarkStart w:id="33" w:name="emission-calculation"/>
    <w:p>
      <w:pPr>
        <w:pStyle w:val="Heading2"/>
      </w:pPr>
      <w:r>
        <w:t xml:space="preserve">4. Emission Calculation</w:t>
      </w:r>
    </w:p>
    <w:p>
      <w:pPr>
        <w:pStyle w:val="FirstParagraph"/>
      </w:pPr>
      <w:r>
        <w:t xml:space="preserve">Emissions are calculated using the formula: Activity Data × Emission Factor = CO2e. This section outlines the calculation approach across the different lifecycle stages, adhering strictly to the GHG Protocol.</w:t>
      </w:r>
    </w:p>
    <w:bookmarkStart w:id="30" w:name="scope-1-emissions"/>
    <w:p>
      <w:pPr>
        <w:pStyle w:val="Heading3"/>
      </w:pPr>
      <w:r>
        <w:t xml:space="preserve">4.1. Scope 1 Emissions</w:t>
      </w:r>
    </w:p>
    <w:p>
      <w:pPr>
        <w:pStyle w:val="FirstParagraph"/>
      </w:pPr>
      <w:r>
        <w:t xml:space="preserve">Direct GHG emissions from sources owned or controlled by kmehhrmfos, such as on-site fuel combustion for manufacturing processes or company vehicles. Specific data for these activities would be collected and multiplied by relevant emission factors (e.g., from national inventories or Ecoinvent/DEFRA).</w:t>
      </w:r>
    </w:p>
    <w:bookmarkEnd w:id="30"/>
    <w:bookmarkStart w:id="31" w:name="scope-2-emissions"/>
    <w:p>
      <w:pPr>
        <w:pStyle w:val="Heading3"/>
      </w:pPr>
      <w:r>
        <w:t xml:space="preserve">4.2. Scope 2 Emissions</w:t>
      </w:r>
    </w:p>
    <w:p>
      <w:pPr>
        <w:pStyle w:val="FirstParagraph"/>
      </w:pPr>
      <w:r>
        <w:t xml:space="preserve">Indirect GHG emissions from the generation of purchased electricity, steam, heating, or cooling consumed by kmehhrmfos. Based on the provided \'Energy Intensity (kWh/unit): jtsshvxuqf\' and \'Renewable Energy Usage: opqsydmvol\', these emissions are calculated using grid-specific or supplier-specific emission factors for electricity, adjusted for renewable energy procurement.</w:t>
      </w:r>
      <w:r>
        <w:t xml:space="preserve"> </w:t>
      </w:r>
      <w:r>
        <w:t xml:space="preserve">For illustrative purposes, assuming an average grid emission factor for China (where final production occurs) and adjusting for renewable usage, the Scope 2 emissions for production are estimated.</w:t>
      </w:r>
    </w:p>
    <w:bookmarkEnd w:id="31"/>
    <w:bookmarkStart w:id="32" w:name="scope-3-emissions"/>
    <w:p>
      <w:pPr>
        <w:pStyle w:val="Heading3"/>
      </w:pPr>
      <w:r>
        <w:t xml:space="preserve">4.3. Scope 3 Emissions</w:t>
      </w:r>
    </w:p>
    <w:p>
      <w:pPr>
        <w:pStyle w:val="FirstParagraph"/>
      </w:pPr>
      <w:r>
        <w:t xml:space="preserve">All other indirect emissions in the value chain, ensuring at least 95% coverage as per 2026 requirements. This includes:</w:t>
      </w:r>
    </w:p>
    <w:p>
      <w:pPr>
        <w:numPr>
          <w:ilvl w:val="0"/>
          <w:numId w:val="1008"/>
        </w:numPr>
        <w:pStyle w:val="Compact"/>
      </w:pPr>
      <w:r>
        <w:rPr>
          <w:bCs/>
          <w:b/>
        </w:rPr>
        <w:t xml:space="preserve">Upstream Emissions:</w:t>
      </w:r>
    </w:p>
    <w:p>
      <w:pPr>
        <w:numPr>
          <w:ilvl w:val="1"/>
          <w:numId w:val="1009"/>
        </w:numPr>
        <w:pStyle w:val="Compact"/>
      </w:pPr>
      <w:r>
        <w:rPr>
          <w:bCs/>
          <w:b/>
        </w:rPr>
        <w:t xml:space="preserve">Raw Material Acquisition &amp; Pre-processing (Category 1):</w:t>
      </w:r>
      <w:r>
        <w:t xml:space="preserve"> </w:t>
      </w:r>
      <w:r>
        <w:t xml:space="preserve">Calculated based on the Detailed BOM (illustrative data from \'wjidfzup\') and specific emission factors for each material and process. For example, for plastics, metals, and electronics, emission factors from databases like Ecoinvent or DEFRA are applied. Total illustrative material carbon footprint: 1.59 kgCO2e.</w:t>
      </w:r>
    </w:p>
    <w:p>
      <w:pPr>
        <w:numPr>
          <w:ilvl w:val="1"/>
          <w:numId w:val="1009"/>
        </w:numPr>
        <w:pStyle w:val="Compact"/>
      </w:pPr>
      <w:r>
        <w:rPr>
          <w:bCs/>
          <w:b/>
        </w:rPr>
        <w:t xml:space="preserve">Transportation &amp; Distribution (Category 4):</w:t>
      </w:r>
      <w:r>
        <w:t xml:space="preserve"> </w:t>
      </w:r>
      <w:r>
        <w:t xml:space="preserve">Emissions from transporting raw materials and components to the manufacturing plant. This is based on \'Transport Mode: Select Mode\' and \'Transport Distance: freplxsurr\' using mode-specific emission factors (e.g., truck, rail, ship).</w:t>
      </w:r>
    </w:p>
    <w:p>
      <w:pPr>
        <w:numPr>
          <w:ilvl w:val="0"/>
          <w:numId w:val="1008"/>
        </w:numPr>
        <w:pStyle w:val="Compact"/>
      </w:pPr>
      <w:r>
        <w:rPr>
          <w:bCs/>
          <w:b/>
        </w:rPr>
        <w:t xml:space="preserve">Downstream Emissions:</w:t>
      </w:r>
    </w:p>
    <w:p>
      <w:pPr>
        <w:numPr>
          <w:ilvl w:val="1"/>
          <w:numId w:val="1010"/>
        </w:numPr>
        <w:pStyle w:val="Compact"/>
      </w:pPr>
      <w:r>
        <w:rPr>
          <w:bCs/>
          <w:b/>
        </w:rPr>
        <w:t xml:space="preserve">Transportation &amp; Distribution (Category 4):</w:t>
      </w:r>
      <w:r>
        <w:t xml:space="preserve"> </w:t>
      </w:r>
      <w:r>
        <w:t xml:space="preserve">Emissions from transporting finished jngzkelyrr from the factory gate to the customer. This considers \'Transport Mode: Select Mode\', \'Transport Distance: freplxsurr\', and \'Last-Mile Delivery Channel: Delivery Type\' with appropriate emission factors.</w:t>
      </w:r>
    </w:p>
    <w:p>
      <w:pPr>
        <w:numPr>
          <w:ilvl w:val="1"/>
          <w:numId w:val="1010"/>
        </w:numPr>
        <w:pStyle w:val="Compact"/>
      </w:pPr>
      <w:r>
        <w:rPr>
          <w:bCs/>
          <w:b/>
        </w:rPr>
        <w:t xml:space="preserve">Use of Sold Products (Category 11):</w:t>
      </w:r>
      <w:r>
        <w:t xml:space="preserve"> </w:t>
      </w:r>
      <w:r>
        <w:t xml:space="preserve">Emissions arising from the product\'s usage phase. Calculated using \'Product Lifespan: qodswgljoi\' and \'Energy Consumption in Use: fuxjmqfedt\' along with relevant electricity emission factors (e.g., from the point of use).</w:t>
      </w:r>
    </w:p>
    <w:p>
      <w:pPr>
        <w:numPr>
          <w:ilvl w:val="1"/>
          <w:numId w:val="1010"/>
        </w:numPr>
        <w:pStyle w:val="Compact"/>
      </w:pPr>
      <w:r>
        <w:rPr>
          <w:bCs/>
          <w:b/>
        </w:rPr>
        <w:t xml:space="preserve">End-of-Life Treatment of Sold Products (Category 12):</w:t>
      </w:r>
      <w:r>
        <w:t xml:space="preserve"> </w:t>
      </w:r>
      <w:r>
        <w:t xml:space="preserve">Emissions (or avoided emissions) from the disposal or recycling of jngzkelyrr. This factors in \'Recyclability Percentage: vilwjzjydn\' and the presence of \'Circular/Take-back Programs: ptpxvfddpd\' to determine the fate of materials and apply corresponding emission/avoidance factors.</w:t>
      </w:r>
    </w:p>
    <w:p>
      <w:pPr>
        <w:pStyle w:val="FirstParagraph"/>
      </w:pPr>
      <w:r>
        <w:t xml:space="preserve">Industry-standard emission factors (e.g., from Ecoinvent and DEFRA) are used for activities where specific factors are not provided directly in the input parameters, ensuring robust calculations.</w:t>
      </w:r>
    </w:p>
    <w:p>
      <w:r>
        <w:pict>
          <v:rect style="width:0;height:1.5pt" o:hralign="center" o:hrstd="t" o:hr="t"/>
        </w:pict>
      </w:r>
    </w:p>
    <w:bookmarkEnd w:id="32"/>
    <w:bookmarkEnd w:id="33"/>
    <w:bookmarkStart w:id="36" w:name="review-report"/>
    <w:p>
      <w:pPr>
        <w:pStyle w:val="Heading2"/>
      </w:pPr>
      <w:r>
        <w:t xml:space="preserve">5. Review &amp; Report</w:t>
      </w:r>
    </w:p>
    <w:p>
      <w:pPr>
        <w:pStyle w:val="FirstParagraph"/>
      </w:pPr>
      <w:r>
        <w:t xml:space="preserve">The final stage involves reviewing the calculated emissions, identifying hotspots, and assessing the reliability of the data and methodology.</w:t>
      </w:r>
    </w:p>
    <w:bookmarkStart w:id="34" w:name="emission-hotspots"/>
    <w:p>
      <w:pPr>
        <w:pStyle w:val="Heading3"/>
      </w:pPr>
      <w:r>
        <w:t xml:space="preserve">5.1. Emission Hotspots</w:t>
      </w:r>
    </w:p>
    <w:p>
      <w:pPr>
        <w:pStyle w:val="FirstParagraph"/>
      </w:pPr>
      <w:r>
        <w:t xml:space="preserve">Based on the analysis, initial hotspots for jngzkelyrr are expected to be:</w:t>
      </w:r>
    </w:p>
    <w:p>
      <w:pPr>
        <w:numPr>
          <w:ilvl w:val="0"/>
          <w:numId w:val="1011"/>
        </w:numPr>
        <w:pStyle w:val="Compact"/>
      </w:pPr>
      <w:r>
        <w:rPr>
          <w:bCs/>
          <w:b/>
        </w:rPr>
        <w:t xml:space="preserve">Material Production:</w:t>
      </w:r>
      <w:r>
        <w:t xml:space="preserve"> </w:t>
      </w:r>
      <w:r>
        <w:t xml:space="preserve">The manufacturing of key components (e.g., electronics, batteries) as highlighted in the BOM, often has high embodied energy and emissions.</w:t>
      </w:r>
    </w:p>
    <w:p>
      <w:pPr>
        <w:numPr>
          <w:ilvl w:val="0"/>
          <w:numId w:val="1011"/>
        </w:numPr>
        <w:pStyle w:val="Compact"/>
      </w:pPr>
      <w:r>
        <w:rPr>
          <w:bCs/>
          <w:b/>
        </w:rPr>
        <w:t xml:space="preserve">Use Phase Energy Consumption:</w:t>
      </w:r>
      <w:r>
        <w:t xml:space="preserve"> </w:t>
      </w:r>
      <w:r>
        <w:t xml:space="preserve">Depending on \'fuxjmqfedt\' and \'qodswgljoi\', the energy consumed during product use can be a significant contributor over the product\'s lifespan.</w:t>
      </w:r>
    </w:p>
    <w:p>
      <w:pPr>
        <w:numPr>
          <w:ilvl w:val="0"/>
          <w:numId w:val="1011"/>
        </w:numPr>
        <w:pStyle w:val="Compact"/>
      </w:pPr>
      <w:r>
        <w:rPr>
          <w:bCs/>
          <w:b/>
        </w:rPr>
        <w:t xml:space="preserve">Transportation:</w:t>
      </w:r>
      <w:r>
        <w:t xml:space="preserve"> </w:t>
      </w:r>
      <w:r>
        <w:t xml:space="preserve">Both upstream and downstream logistics, particularly if long distances or high-emission transport modes are utilized (\'Select Mode\', \'freplxsurr\').</w:t>
      </w:r>
    </w:p>
    <w:bookmarkEnd w:id="34"/>
    <w:bookmarkStart w:id="35" w:name="data-reliability-and-recommendations"/>
    <w:p>
      <w:pPr>
        <w:pStyle w:val="Heading3"/>
      </w:pPr>
      <w:r>
        <w:t xml:space="preserve">5.2. Data Reliability and Recommendations</w:t>
      </w:r>
    </w:p>
    <w:p>
      <w:pPr>
        <w:pStyle w:val="FirstParagraph"/>
      </w:pPr>
      <w:r>
        <w:t xml:space="preserve">The reliability of this PCF relies on the accuracy and completeness of the provided input parameters. To enhance accuracy and reduce the footprint, kmehhrmfos should consider:</w:t>
      </w:r>
    </w:p>
    <w:p>
      <w:pPr>
        <w:numPr>
          <w:ilvl w:val="0"/>
          <w:numId w:val="1012"/>
        </w:numPr>
        <w:pStyle w:val="Compact"/>
      </w:pPr>
      <w:r>
        <w:t xml:space="preserve">Sourcing materials with lower embodied carbon.</w:t>
      </w:r>
    </w:p>
    <w:p>
      <w:pPr>
        <w:numPr>
          <w:ilvl w:val="0"/>
          <w:numId w:val="1012"/>
        </w:numPr>
        <w:pStyle w:val="Compact"/>
      </w:pPr>
      <w:r>
        <w:t xml:space="preserve">Increasing renewable energy usage in manufacturing beyond \'opqsydmvol\'.</w:t>
      </w:r>
    </w:p>
    <w:p>
      <w:pPr>
        <w:numPr>
          <w:ilvl w:val="0"/>
          <w:numId w:val="1012"/>
        </w:numPr>
        <w:pStyle w:val="Compact"/>
      </w:pPr>
      <w:r>
        <w:t xml:space="preserve">Optimizing logistics by exploring lower-emission transport modes or routes.</w:t>
      </w:r>
    </w:p>
    <w:p>
      <w:pPr>
        <w:numPr>
          <w:ilvl w:val="0"/>
          <w:numId w:val="1012"/>
        </w:numPr>
        <w:pStyle w:val="Compact"/>
      </w:pPr>
      <w:r>
        <w:t xml:space="preserve">Designing products for greater energy efficiency during the \'qodswgljoi\' lifespan.</w:t>
      </w:r>
    </w:p>
    <w:p>
      <w:pPr>
        <w:numPr>
          <w:ilvl w:val="0"/>
          <w:numId w:val="1012"/>
        </w:numPr>
        <w:pStyle w:val="Compact"/>
      </w:pPr>
      <w:r>
        <w:t xml:space="preserve">Expanding \'ptpxvfddpd\' programs and increasing \'vilwjzjydn\' percentage to promote circularity.</w:t>
      </w:r>
    </w:p>
    <w:p>
      <w:pPr>
        <w:numPr>
          <w:ilvl w:val="0"/>
          <w:numId w:val="1012"/>
        </w:numPr>
        <w:pStyle w:val="Compact"/>
      </w:pPr>
      <w:r>
        <w:t xml:space="preserve">Collecting more primary data for Scope 1 and specific Scope 3 categories to refine calculations.</w:t>
      </w:r>
    </w:p>
    <w:p>
      <w:pPr>
        <w:pStyle w:val="FirstParagraph"/>
      </w:pPr>
      <w:r>
        <w:t xml:space="preserve">This report provides a foundational understanding of jngzkelyrr\'s carbon footprint, guiding \'kmehhrmfos\' towards more sustainable product development and operational practices.</w:t>
      </w:r>
    </w:p>
    <w:p>
      <w:pPr>
        <w:pStyle w:val="BodyText"/>
      </w:pPr>
      <w:r>
        <w:t xml:space="preserve">Confidential - Internal Use Only | Page X of 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jngzkelyrr</dc:title>
  <dc:creator/>
  <dc:description>Detailed Product Carbon Footprint (PCF) analysis report for product jngzkelyrr, following GHG Protocol standards and 2026 LSR updates.</dc:description>
  <dc:language>en</dc:language>
  <cp:keywords/>
  <dcterms:created xsi:type="dcterms:W3CDTF">2026-07-15T10:26:34Z</dcterms:created>
  <dcterms:modified xsi:type="dcterms:W3CDTF">2026-07-15T10:26:34Z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