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jlkddrwkuo</w:t>
      </w:r>
      <w:r>
        <w:t xml:space="preserve"> </w:t>
      </w:r>
      <w:r>
        <w:t xml:space="preserve">-</w:t>
      </w:r>
      <w:r>
        <w:t xml:space="preserve"> </w:t>
      </w:r>
      <w:r>
        <w:t xml:space="preserve">lssuyuyxky</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jlkddrwkuo</w:t>
      </w:r>
    </w:p>
    <w:p>
      <w:pPr>
        <w:pStyle w:val="BodyText"/>
      </w:pPr>
      <w:r>
        <w:rPr>
          <w:bCs/>
          <w:b/>
        </w:rPr>
        <w:t xml:space="preserve">Company Name:</w:t>
      </w:r>
      <w:r>
        <w:t xml:space="preserve"> </w:t>
      </w:r>
      <w:r>
        <w:t xml:space="preserve">lssuyuyxky</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vppirxfkvl</w:t>
      </w:r>
    </w:p>
    <w:p>
      <w:pPr>
        <w:pStyle w:val="BodyText"/>
      </w:pPr>
      <w:r>
        <w:t xml:space="preserve">This report is generated based on available data and industry standards, providing a high-level assessment of the product\'s carbon footprint.</w:t>
      </w:r>
    </w:p>
    <w:bookmarkEnd w:id="20"/>
    <w:bookmarkStart w:id="40"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detailed Product Carbon Footprint (PCF) analysis for the product</w:t>
      </w:r>
      <w:r>
        <w:t xml:space="preserve"> </w:t>
      </w:r>
      <w:r>
        <w:rPr>
          <w:bCs/>
          <w:b/>
        </w:rPr>
        <w:t xml:space="preserve">jlkddrwkuo</w:t>
      </w:r>
      <w:r>
        <w:t xml:space="preserve">, manufactured by</w:t>
      </w:r>
      <w:r>
        <w:t xml:space="preserve"> </w:t>
      </w:r>
      <w:r>
        <w:rPr>
          <w:bCs/>
          <w:b/>
        </w:rPr>
        <w:t xml:space="preserve">lssuyuyxky</w:t>
      </w:r>
      <w:r>
        <w:t xml:space="preserve">. The analysis, conducted by</w:t>
      </w:r>
      <w:r>
        <w:t xml:space="preserve"> </w:t>
      </w:r>
      <w:r>
        <w:rPr>
          <w:bCs/>
          <w:b/>
        </w:rPr>
        <w:t xml:space="preserve">vppirxfkvl</w:t>
      </w:r>
      <w:r>
        <w:t xml:space="preserve">, a Senior Sustainability Consultant specializing in the GHG Protocol, adheres to the Greenhouse Gas Protocol (GHG Protocol) standards, including the latest 2026 updates for Scope 3 emissions and the Land Sector and Removals (LSR) Standard. The aim is to quantify the greenhouse gas emissions associated with the product\'s lifecycle, identify emission hotspots, and provide insights for reduction strategies.</w:t>
      </w:r>
    </w:p>
    <w:p>
      <w:r>
        <w:pict>
          <v:rect style="width:0;height:1.5pt" o:hralign="center" o:hrstd="t" o:hr="t"/>
        </w:pict>
      </w:r>
    </w:p>
    <w:bookmarkEnd w:id="21"/>
    <w:bookmarkStart w:id="24" w:name="methodology-and-scope-definition"/>
    <w:p>
      <w:pPr>
        <w:pStyle w:val="Heading2"/>
      </w:pPr>
      <w:r>
        <w:t xml:space="preserve">1. Methodology and Scope Definition</w:t>
      </w:r>
    </w:p>
    <w:p>
      <w:pPr>
        <w:pStyle w:val="FirstParagraph"/>
      </w:pPr>
      <w:r>
        <w:t xml:space="preserve">The Product Carbon Footprint (PCF) analysis for</w:t>
      </w:r>
      <w:r>
        <w:t xml:space="preserve"> </w:t>
      </w:r>
      <w:r>
        <w:rPr>
          <w:bCs/>
          <w:b/>
        </w:rPr>
        <w:t xml:space="preserve">jlkddrwkuo</w:t>
      </w:r>
      <w:r>
        <w:t xml:space="preserve"> </w:t>
      </w:r>
      <w:r>
        <w:t xml:space="preserve">follows a comprehensive methodology structured around five key steps, compliant with the GHG Protocol\'s Product Standard. This approach ensures a systematic and transparent assessment of the product\'s environmental impact throughout its lifecycle.</w:t>
      </w:r>
    </w:p>
    <w:bookmarkStart w:id="22" w:name="scope-definition"/>
    <w:p>
      <w:pPr>
        <w:pStyle w:val="Heading3"/>
      </w:pPr>
      <w:r>
        <w:t xml:space="preserve">1.1. Scope Definition</w:t>
      </w:r>
    </w:p>
    <w:p>
      <w:pPr>
        <w:numPr>
          <w:ilvl w:val="0"/>
          <w:numId w:val="1001"/>
        </w:numPr>
        <w:pStyle w:val="Compact"/>
      </w:pPr>
      <w:r>
        <w:rPr>
          <w:bCs/>
          <w:b/>
        </w:rPr>
        <w:t xml:space="preserve">Functional Unit:</w:t>
      </w:r>
      <w:r>
        <w:t xml:space="preserve"> </w:t>
      </w:r>
      <w:r>
        <w:t xml:space="preserve">The functional unit for this PCF analysis is defined as</w:t>
      </w:r>
      <w:r>
        <w:t xml:space="preserve"> </w:t>
      </w:r>
      <w:r>
        <w:rPr>
          <w:bCs/>
          <w:b/>
        </w:rPr>
        <w:t xml:space="preserve">1.0 unit</w:t>
      </w:r>
      <w:r>
        <w:t xml:space="preserve"> </w:t>
      </w:r>
      <w:r>
        <w:t xml:space="preserve">of the product</w:t>
      </w:r>
      <w:r>
        <w:t xml:space="preserve"> </w:t>
      </w:r>
      <w:r>
        <w:rPr>
          <w:bCs/>
          <w:b/>
        </w:rPr>
        <w:t xml:space="preserve">jlkddrwkuo</w:t>
      </w:r>
      <w:r>
        <w:t xml:space="preserve">. This serves as the reference basis for quantifying and comparing environmental impacts.</w:t>
      </w:r>
    </w:p>
    <w:p>
      <w:pPr>
        <w:numPr>
          <w:ilvl w:val="0"/>
          <w:numId w:val="1001"/>
        </w:numPr>
        <w:pStyle w:val="Compact"/>
      </w:pPr>
      <w:r>
        <w:rPr>
          <w:bCs/>
          <w:b/>
        </w:rPr>
        <w:t xml:space="preserve">System Boundary:</w:t>
      </w:r>
      <w:r>
        <w:t xml:space="preserve"> </w:t>
      </w:r>
      <w:r>
        <w:t xml:space="preserve">The analysis adopts a</w:t>
      </w:r>
      <w:r>
        <w:t xml:space="preserve"> </w:t>
      </w:r>
      <w:r>
        <w:rPr>
          <w:bCs/>
          <w:b/>
        </w:rPr>
        <w:t xml:space="preserve">"Cradle-to-Gate"</w:t>
      </w:r>
      <w:r>
        <w:t xml:space="preserve"> </w:t>
      </w:r>
      <w:r>
        <w:t xml:space="preserve">plus "Use Phase" and "End-of-Life" system boundary, effectively a "Cradle-to-Grave" approach, though the primary focus of data collection (BOM) aligns with the "factory_gate" parameter for direct production and upstream impacts. This includes raw material acquisition, manufacturing, transport to customer, use phase, and end-of-life treatment.</w:t>
      </w:r>
    </w:p>
    <w:p>
      <w:pPr>
        <w:numPr>
          <w:ilvl w:val="0"/>
          <w:numId w:val="1001"/>
        </w:numPr>
        <w:pStyle w:val="Compact"/>
      </w:pPr>
      <w:r>
        <w:rPr>
          <w:bCs/>
          <w:b/>
        </w:rPr>
        <w:t xml:space="preserve">Geographic Scope:</w:t>
      </w:r>
      <w:r>
        <w:t xml:space="preserve"> </w:t>
      </w:r>
      <w:r>
        <w:t xml:space="preserve">The</w:t>
      </w:r>
      <w:r>
        <w:t xml:space="preserve"> </w:t>
      </w:r>
      <w:r>
        <w:rPr>
          <w:bCs/>
          <w:b/>
        </w:rPr>
        <w:t xml:space="preserve">Final Production Country is China</w:t>
      </w:r>
      <w:r>
        <w:t xml:space="preserve">, with a</w:t>
      </w:r>
      <w:r>
        <w:t xml:space="preserve"> </w:t>
      </w:r>
      <w:r>
        <w:rPr>
          <w:bCs/>
          <w:b/>
        </w:rPr>
        <w:t xml:space="preserve">Supply Chain Focus on Europe</w:t>
      </w:r>
      <w:r>
        <w:t xml:space="preserve"> </w:t>
      </w:r>
      <w:r>
        <w:t xml:space="preserve">for downstream activities like sales and product use. This dual focus allows for consideration of region-specific emission factors and energy mixes.</w:t>
      </w:r>
    </w:p>
    <w:p>
      <w:pPr>
        <w:numPr>
          <w:ilvl w:val="0"/>
          <w:numId w:val="1001"/>
        </w:numPr>
        <w:pStyle w:val="Compact"/>
      </w:pPr>
      <w:r>
        <w:rPr>
          <w:bCs/>
          <w:b/>
        </w:rPr>
        <w:t xml:space="preserve">Allocation:</w:t>
      </w:r>
      <w:r>
        <w:t xml:space="preserve"> </w:t>
      </w:r>
      <w:r>
        <w:t xml:space="preserve">Emissions are allocated directly to the functional unit based on mass and energy consumption. For multi-product systems, economic allocation is considered where direct physical allocation is not feasible or representative.</w:t>
      </w:r>
    </w:p>
    <w:p>
      <w:pPr>
        <w:numPr>
          <w:ilvl w:val="0"/>
          <w:numId w:val="1001"/>
        </w:numPr>
        <w:pStyle w:val="Compact"/>
      </w:pPr>
      <w:r>
        <w:rPr>
          <w:bCs/>
          <w:b/>
        </w:rPr>
        <w:t xml:space="preserve">Accounting Standard:</w:t>
      </w:r>
      <w:r>
        <w:t xml:space="preserve"> </w:t>
      </w:r>
      <w:r>
        <w:t xml:space="preserve">All calculations and reporting are strictly in accordance with the</w:t>
      </w:r>
      <w:r>
        <w:t xml:space="preserve"> </w:t>
      </w:r>
      <w:r>
        <w:rPr>
          <w:bCs/>
          <w:b/>
        </w:rPr>
        <w:t xml:space="preserve">GHG Protocol</w:t>
      </w:r>
      <w:r>
        <w:t xml:space="preserve"> </w:t>
      </w:r>
      <w:r>
        <w:t xml:space="preserve">Corporate Accounting and Reporting Standard and the Corporate Value Chain (Scope 3) Accounting and Reporting Standard.</w:t>
      </w:r>
    </w:p>
    <w:bookmarkEnd w:id="22"/>
    <w:bookmarkStart w:id="23" w:name="X8877664c7f8833a514558f437f739c3634cd437"/>
    <w:p>
      <w:pPr>
        <w:pStyle w:val="Heading3"/>
      </w:pPr>
      <w:r>
        <w:t xml:space="preserve">1.2. Adherence to GHG Protocol and 2026 Updates</w:t>
      </w:r>
    </w:p>
    <w:p>
      <w:pPr>
        <w:numPr>
          <w:ilvl w:val="0"/>
          <w:numId w:val="1002"/>
        </w:numPr>
        <w:pStyle w:val="Compact"/>
      </w:pPr>
      <w:r>
        <w:rPr>
          <w:bCs/>
          <w:b/>
        </w:rPr>
        <w:t xml:space="preserve">Categorization:</w:t>
      </w:r>
      <w:r>
        <w:t xml:space="preserve"> </w:t>
      </w:r>
      <w:r>
        <w:t xml:space="preserve">Emissions are categorized into Scope 1 (direct emissions from owned or controlled sources), Scope 2 (indirect emissions from purchased electricity, heat, or steam), and Scope 3 (all other indirect emissions occurring in the value chain).</w:t>
      </w:r>
    </w:p>
    <w:p>
      <w:pPr>
        <w:numPr>
          <w:ilvl w:val="0"/>
          <w:numId w:val="1002"/>
        </w:numPr>
        <w:pStyle w:val="Compact"/>
      </w:pPr>
      <w:r>
        <w:rPr>
          <w:bCs/>
          <w:b/>
        </w:rPr>
        <w:t xml:space="preserve">2026 LSR Update:</w:t>
      </w:r>
      <w:r>
        <w:t xml:space="preserve"> </w:t>
      </w:r>
      <w:r>
        <w:t xml:space="preserve">The analysis conceptually applies the Land Sector and Removals (LSR) Standard, released on January 30, 2026, and effective January 1, 2027. While specific land-use data for</w:t>
      </w:r>
      <w:r>
        <w:t xml:space="preserve"> </w:t>
      </w:r>
      <w:r>
        <w:rPr>
          <w:bCs/>
          <w:b/>
        </w:rPr>
        <w:t xml:space="preserve">jlkddrwkuo</w:t>
      </w:r>
      <w:r>
        <w:t xml:space="preserve">\'s raw materials were not provided, the principles of accounting for land emissions, CO2 removals, and biogenic products are acknowledged. The standard aims to provide methods for companies to quantify, report, and track land emissions and carbon removals, supporting robust climate target setting.</w:t>
      </w:r>
    </w:p>
    <w:p>
      <w:pPr>
        <w:numPr>
          <w:ilvl w:val="0"/>
          <w:numId w:val="1002"/>
        </w:numPr>
        <w:pStyle w:val="Compact"/>
      </w:pPr>
      <w:r>
        <w:rPr>
          <w:bCs/>
          <w:b/>
        </w:rPr>
        <w:t xml:space="preserve">Scope 3 Compliance:</w:t>
      </w:r>
      <w:r>
        <w:t xml:space="preserve"> </w:t>
      </w:r>
      <w:r>
        <w:t xml:space="preserve">As per proposed 2026 requirements, efforts are made to ensure at least</w:t>
      </w:r>
      <w:r>
        <w:t xml:space="preserve"> </w:t>
      </w:r>
      <w:r>
        <w:rPr>
          <w:bCs/>
          <w:b/>
        </w:rPr>
        <w:t xml:space="preserve">95% coverage for Scope 3 reporting</w:t>
      </w:r>
      <w:r>
        <w:t xml:space="preserve">. This mandates a comprehensive accounting of value chain emissions, with exclusions limited to minor sources and fully justified.</w:t>
      </w:r>
    </w:p>
    <w:p>
      <w:r>
        <w:pict>
          <v:rect style="width:0;height:1.5pt" o:hralign="center" o:hrstd="t" o:hr="t"/>
        </w:pict>
      </w:r>
    </w:p>
    <w:bookmarkEnd w:id="23"/>
    <w:bookmarkEnd w:id="24"/>
    <w:bookmarkStart w:id="31" w:name="X35745a8e252718d5a0d40cb3fbfce10aee0336d"/>
    <w:p>
      <w:pPr>
        <w:pStyle w:val="Heading2"/>
      </w:pPr>
      <w:r>
        <w:t xml:space="preserve">2. &amp; 3. Lifecycle Mapping (LCI Inventory Stages) &amp; Data Collection</w:t>
      </w:r>
    </w:p>
    <w:p>
      <w:pPr>
        <w:pStyle w:val="FirstParagraph"/>
      </w:pPr>
      <w:r>
        <w:t xml:space="preserve">This section details the inputs and activities across the product\'s lifecycle, from raw material acquisition to end-of-life, and outlines the data collected for each stage.</w:t>
      </w:r>
    </w:p>
    <w:bookmarkStart w:id="26" w:name="material-inputs-scope-3---upstream"/>
    <w:p>
      <w:pPr>
        <w:pStyle w:val="Heading3"/>
      </w:pPr>
      <w:r>
        <w:t xml:space="preserve">2.1. Material Inputs (Scope 3 - Upstream)</w:t>
      </w:r>
    </w:p>
    <w:p>
      <w:pPr>
        <w:pStyle w:val="FirstParagraph"/>
      </w:pPr>
      <w:r>
        <w:t xml:space="preserve">The Detailed Bill of Materials (BOM) provides a high-accuracy basis for calculating the material impact. The following table presents the breakdown of materials and their associated carbon emissions.</w:t>
      </w:r>
    </w:p>
    <w:bookmarkStart w:id="25" w:name="X698dda097e54bb899e99645926d49ba30a119eb"/>
    <w:p>
      <w:pPr>
        <w:pStyle w:val="Heading4"/>
      </w:pPr>
      <w:r>
        <w:t xml:space="preserve">Detailed Bill of Materials (BOM) for jlkddrwkuo</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w:t>
            </w:r>
          </w:p>
        </w:tc>
      </w:tr>
      <w:tr>
        <w:tc>
          <w:tcPr/>
          <w:p>
            <w:pPr>
              <w:pStyle w:val="Compact"/>
              <w:jc w:val="left"/>
            </w:pPr>
            <w:r>
              <w:t xml:space="preserve">2</w:t>
            </w:r>
          </w:p>
        </w:tc>
        <w:tc>
          <w:tcPr/>
          <w:p>
            <w:pPr>
              <w:pStyle w:val="Compact"/>
              <w:jc w:val="left"/>
            </w:pPr>
            <w:r>
              <w:t xml:space="preserve">ABS Plastic</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3</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8.0</w:t>
            </w:r>
          </w:p>
        </w:tc>
        <w:tc>
          <w:tcPr/>
          <w:p>
            <w:pPr>
              <w:pStyle w:val="Compact"/>
              <w:jc w:val="left"/>
            </w:pPr>
            <w:r>
              <w:t xml:space="preserve">0.8</w:t>
            </w:r>
          </w:p>
        </w:tc>
      </w:tr>
    </w:tbl>
    <w:p>
      <w:pPr>
        <w:pStyle w:val="BodyText"/>
      </w:pPr>
      <w:r>
        <w:rPr>
          <w:bCs/>
          <w:b/>
        </w:rPr>
        <w:t xml:space="preserve">Total Material Mass:</w:t>
      </w:r>
      <w:r>
        <w:t xml:space="preserve"> </w:t>
      </w:r>
      <w:r>
        <w:t xml:space="preserve">0.5 kg (Aluminum) + 0.2 kg (Plastic) + (assuming 0.1 kg for PCB unit) = 0.8 kg</w:t>
      </w:r>
      <w:r>
        <w:br/>
      </w:r>
      <w:r>
        <w:rPr>
          <w:bCs/>
          <w:b/>
        </w:rPr>
        <w:t xml:space="preserve">Total Carbon from Materials:</w:t>
      </w:r>
      <w:r>
        <w:t xml:space="preserve"> </w:t>
      </w:r>
      <w:r>
        <w:t xml:space="preserve">6.0 kg CO2e + 0.7 kg CO2e + 0.8 kg CO2e = 7.5 kg CO2e</w:t>
      </w:r>
    </w:p>
    <w:bookmarkEnd w:id="25"/>
    <w:bookmarkEnd w:id="26"/>
    <w:bookmarkStart w:id="27" w:name="production-phase-scope-2"/>
    <w:p>
      <w:pPr>
        <w:pStyle w:val="Heading3"/>
      </w:pPr>
      <w:r>
        <w:t xml:space="preserve">2.2. Production Phase (Scope 2)</w:t>
      </w:r>
    </w:p>
    <w:p>
      <w:pPr>
        <w:numPr>
          <w:ilvl w:val="0"/>
          <w:numId w:val="1003"/>
        </w:numPr>
        <w:pStyle w:val="Compact"/>
      </w:pPr>
      <w:r>
        <w:rPr>
          <w:bCs/>
          <w:b/>
        </w:rPr>
        <w:t xml:space="preserve">Energy Intensity:</w:t>
      </w:r>
      <w:r>
        <w:t xml:space="preserve"> </w:t>
      </w:r>
      <w:r>
        <w:rPr>
          <w:bCs/>
          <w:b/>
        </w:rPr>
        <w:t xml:space="preserve">newwjmsgvm kWh/unit</w:t>
      </w:r>
      <w:r>
        <w:t xml:space="preserve"> </w:t>
      </w:r>
      <w:r>
        <w:t xml:space="preserve">is consumed during the production of</w:t>
      </w:r>
      <w:r>
        <w:t xml:space="preserve"> </w:t>
      </w:r>
      <w:r>
        <w:rPr>
          <w:bCs/>
          <w:b/>
        </w:rPr>
        <w:t xml:space="preserve">jlkddrwkuo</w:t>
      </w:r>
      <w:r>
        <w:t xml:space="preserve">.</w:t>
      </w:r>
    </w:p>
    <w:p>
      <w:pPr>
        <w:numPr>
          <w:ilvl w:val="0"/>
          <w:numId w:val="1003"/>
        </w:numPr>
        <w:pStyle w:val="Compact"/>
      </w:pPr>
      <w:r>
        <w:rPr>
          <w:bCs/>
          <w:b/>
        </w:rPr>
        <w:t xml:space="preserve">Renewable Energy Usage:</w:t>
      </w:r>
      <w:r>
        <w:t xml:space="preserve"> </w:t>
      </w:r>
      <w:r>
        <w:rPr>
          <w:bCs/>
          <w:b/>
        </w:rPr>
        <w:t xml:space="preserve">dzlmrmywnh %</w:t>
      </w:r>
      <w:r>
        <w:t xml:space="preserve"> </w:t>
      </w:r>
      <w:r>
        <w:t xml:space="preserve">of the energy consumed in production is sourced from renewable energy.</w:t>
      </w:r>
    </w:p>
    <w:p>
      <w:pPr>
        <w:numPr>
          <w:ilvl w:val="0"/>
          <w:numId w:val="1003"/>
        </w:numPr>
        <w:pStyle w:val="Compact"/>
      </w:pPr>
      <w:r>
        <w:rPr>
          <w:bCs/>
          <w:b/>
        </w:rPr>
        <w:t xml:space="preserve">Grid Electricity Emission Factor (China):</w:t>
      </w:r>
      <w:r>
        <w:t xml:space="preserve"> </w:t>
      </w:r>
      <w:r>
        <w:t xml:space="preserve">An estimated average of 0.6 kg CO2e/kWh is used for Chinese grid electricity.</w:t>
      </w:r>
    </w:p>
    <w:p>
      <w:pPr>
        <w:numPr>
          <w:ilvl w:val="0"/>
          <w:numId w:val="1003"/>
        </w:numPr>
        <w:pStyle w:val="Compact"/>
      </w:pPr>
      <w:r>
        <w:rPr>
          <w:bCs/>
          <w:b/>
        </w:rPr>
        <w:t xml:space="preserve">Calculated Effective Emission Factor for Production:</w:t>
      </w:r>
      <w:r>
        <w:t xml:space="preserve"> </w:t>
      </w:r>
      <w:r>
        <w:t xml:space="preserve">Assuming `newwjmsgvm` = 10 kWh/unit and `dzlmrmywnh` = 50%:</w:t>
      </w:r>
      <w:r>
        <w:t xml:space="preserve"> </w:t>
      </w:r>
      <w:r>
        <w:t xml:space="preserve">Effective EF = 0.6 kg CO2e/kWh * (1 - 50/100) = 0.3 kg CO2e/kWh.</w:t>
      </w:r>
      <w:r>
        <w:t xml:space="preserve"> </w:t>
      </w:r>
      <w:r>
        <w:t xml:space="preserve">Production Emissions = 10 kWh/unit * 0.3 kg CO2e/kWh = 3.0 kg CO2e.</w:t>
      </w:r>
    </w:p>
    <w:bookmarkEnd w:id="27"/>
    <w:bookmarkStart w:id="28" w:name="transport-scope-3---upstream-downstream"/>
    <w:p>
      <w:pPr>
        <w:pStyle w:val="Heading3"/>
      </w:pPr>
      <w:r>
        <w:t xml:space="preserve">2.3. Transport (Scope 3 - Upstream &amp; Downstream)</w:t>
      </w:r>
    </w:p>
    <w:p>
      <w:pPr>
        <w:pStyle w:val="FirstParagraph"/>
      </w:pPr>
      <w:r>
        <w:t xml:space="preserve">Logistics data incorporates transport from manufacturing in China to the European market, and then last-mile delivery.</w:t>
      </w:r>
    </w:p>
    <w:p>
      <w:pPr>
        <w:numPr>
          <w:ilvl w:val="0"/>
          <w:numId w:val="1004"/>
        </w:numPr>
        <w:pStyle w:val="Compact"/>
      </w:pPr>
      <w:r>
        <w:rPr>
          <w:bCs/>
          <w:b/>
        </w:rPr>
        <w:t xml:space="preserve">Main Transport Mode:</w:t>
      </w:r>
      <w:r>
        <w:t xml:space="preserve"> </w:t>
      </w:r>
      <w:r>
        <w:rPr>
          <w:bCs/>
          <w:b/>
        </w:rPr>
        <w:t xml:space="preserve">Select Mode</w:t>
      </w:r>
      <w:r>
        <w:t xml:space="preserve"> </w:t>
      </w:r>
      <w:r>
        <w:t xml:space="preserve">(assumed Ocean Freight for bulk transport from China to Europe).</w:t>
      </w:r>
    </w:p>
    <w:p>
      <w:pPr>
        <w:numPr>
          <w:ilvl w:val="0"/>
          <w:numId w:val="1004"/>
        </w:numPr>
        <w:pStyle w:val="Compact"/>
      </w:pPr>
      <w:r>
        <w:rPr>
          <w:bCs/>
          <w:b/>
        </w:rPr>
        <w:t xml:space="preserve">Transport Distance:</w:t>
      </w:r>
      <w:r>
        <w:t xml:space="preserve"> </w:t>
      </w:r>
      <w:r>
        <w:rPr>
          <w:bCs/>
          <w:b/>
        </w:rPr>
        <w:t xml:space="preserve">shfkjvhsnz km</w:t>
      </w:r>
      <w:r>
        <w:t xml:space="preserve"> </w:t>
      </w:r>
      <w:r>
        <w:t xml:space="preserve">(e.g., 15,000 km for intercontinental shipping).</w:t>
      </w:r>
    </w:p>
    <w:p>
      <w:pPr>
        <w:numPr>
          <w:ilvl w:val="0"/>
          <w:numId w:val="1004"/>
        </w:numPr>
        <w:pStyle w:val="Compact"/>
      </w:pPr>
      <w:r>
        <w:rPr>
          <w:bCs/>
          <w:b/>
        </w:rPr>
        <w:t xml:space="preserve">Ocean Freight Emission Factor:</w:t>
      </w:r>
      <w:r>
        <w:t xml:space="preserve"> </w:t>
      </w:r>
      <w:r>
        <w:t xml:space="preserve">An average of 0.016 kg CO2e/tonne-km for container ships is applied.</w:t>
      </w:r>
    </w:p>
    <w:p>
      <w:pPr>
        <w:numPr>
          <w:ilvl w:val="0"/>
          <w:numId w:val="1004"/>
        </w:numPr>
        <w:pStyle w:val="Compact"/>
      </w:pPr>
      <w:r>
        <w:rPr>
          <w:bCs/>
          <w:b/>
        </w:rPr>
        <w:t xml:space="preserve">Last-Mile Delivery Channel:</w:t>
      </w:r>
      <w:r>
        <w:t xml:space="preserve"> </w:t>
      </w:r>
      <w:r>
        <w:rPr>
          <w:bCs/>
          <w:b/>
        </w:rPr>
        <w:t xml:space="preserve">Delivery Type</w:t>
      </w:r>
      <w:r>
        <w:t xml:space="preserve"> </w:t>
      </w:r>
      <w:r>
        <w:t xml:space="preserve">(assumed Road Freight for standard parcel delivery within Europe).</w:t>
      </w:r>
    </w:p>
    <w:p>
      <w:pPr>
        <w:numPr>
          <w:ilvl w:val="0"/>
          <w:numId w:val="1004"/>
        </w:numPr>
        <w:pStyle w:val="Compact"/>
      </w:pPr>
      <w:r>
        <w:rPr>
          <w:bCs/>
          <w:b/>
        </w:rPr>
        <w:t xml:space="preserve">Road Freight Emission Factor:</w:t>
      </w:r>
      <w:r>
        <w:t xml:space="preserve"> </w:t>
      </w:r>
      <w:r>
        <w:t xml:space="preserve">An average of 0.1 kg CO2e/tonne-km for road freight is applied. (This is an assumed representative value for European road freight, actual values vary by vehicle type and load).</w:t>
      </w:r>
    </w:p>
    <w:p>
      <w:pPr>
        <w:numPr>
          <w:ilvl w:val="0"/>
          <w:numId w:val="1004"/>
        </w:numPr>
        <w:pStyle w:val="Compact"/>
      </w:pPr>
      <w:r>
        <w:rPr>
          <w:bCs/>
          <w:b/>
        </w:rPr>
        <w:t xml:space="preserve">Assumed Last-Mile Distance:</w:t>
      </w:r>
      <w:r>
        <w:t xml:space="preserve"> </w:t>
      </w:r>
      <w:r>
        <w:t xml:space="preserve">500 km (illustrative for European distribution).</w:t>
      </w:r>
    </w:p>
    <w:p>
      <w:pPr>
        <w:numPr>
          <w:ilvl w:val="0"/>
          <w:numId w:val="1004"/>
        </w:numPr>
        <w:pStyle w:val="Compact"/>
      </w:pPr>
      <w:r>
        <w:rPr>
          <w:bCs/>
          <w:b/>
        </w:rPr>
        <w:t xml:space="preserve">Calculated Transport Emissions (Illustrative):</w:t>
      </w:r>
      <w:r>
        <w:t xml:space="preserve"> </w:t>
      </w:r>
      <w:r>
        <w:t xml:space="preserve">Assuming product weight from BOM = 0.8 kg = 0.0008 tonnes.</w:t>
      </w:r>
      <w:r>
        <w:t xml:space="preserve"> </w:t>
      </w:r>
      <w:r>
        <w:t xml:space="preserve">Main Transport (Ocean Freight): 0.0008 tonnes * 15,000 km * 0.016 kg CO2e/tonne-km = 0.192 kg CO2e.</w:t>
      </w:r>
      <w:r>
        <w:t xml:space="preserve"> </w:t>
      </w:r>
      <w:r>
        <w:t xml:space="preserve">Last-Mile Delivery (Road Freight): 0.0008 tonnes * 500 km * 0.1 kg CO2e/tonne-km = 0.04 kg CO2e.</w:t>
      </w:r>
      <w:r>
        <w:t xml:space="preserve"> </w:t>
      </w:r>
      <w:r>
        <w:t xml:space="preserve">Total Transport Emissions = 0.192 kg CO2e + 0.04 kg CO2e = 0.232 kg CO2e.</w:t>
      </w:r>
    </w:p>
    <w:bookmarkEnd w:id="28"/>
    <w:bookmarkStart w:id="29" w:name="use-phase-scope-3---downstream"/>
    <w:p>
      <w:pPr>
        <w:pStyle w:val="Heading3"/>
      </w:pPr>
      <w:r>
        <w:t xml:space="preserve">2.4. Use Phase (Scope 3 - Downstream)</w:t>
      </w:r>
    </w:p>
    <w:p>
      <w:pPr>
        <w:numPr>
          <w:ilvl w:val="0"/>
          <w:numId w:val="1005"/>
        </w:numPr>
        <w:pStyle w:val="Compact"/>
      </w:pPr>
      <w:r>
        <w:rPr>
          <w:bCs/>
          <w:b/>
        </w:rPr>
        <w:t xml:space="preserve">Product Lifespan:</w:t>
      </w:r>
      <w:r>
        <w:t xml:space="preserve"> </w:t>
      </w:r>
      <w:r>
        <w:rPr>
          <w:bCs/>
          <w:b/>
        </w:rPr>
        <w:t xml:space="preserve">uefvqjhlzm</w:t>
      </w:r>
      <w:r>
        <w:t xml:space="preserve"> </w:t>
      </w:r>
      <w:r>
        <w:t xml:space="preserve">(e.g., 5 years).</w:t>
      </w:r>
    </w:p>
    <w:p>
      <w:pPr>
        <w:numPr>
          <w:ilvl w:val="0"/>
          <w:numId w:val="1005"/>
        </w:numPr>
        <w:pStyle w:val="Compact"/>
      </w:pPr>
      <w:r>
        <w:rPr>
          <w:bCs/>
          <w:b/>
        </w:rPr>
        <w:t xml:space="preserve">Energy Consumption in Use:</w:t>
      </w:r>
      <w:r>
        <w:t xml:space="preserve"> </w:t>
      </w:r>
      <w:r>
        <w:rPr>
          <w:bCs/>
          <w:b/>
        </w:rPr>
        <w:t xml:space="preserve">iqhsvlsgkx kWh</w:t>
      </w:r>
      <w:r>
        <w:t xml:space="preserve"> </w:t>
      </w:r>
      <w:r>
        <w:t xml:space="preserve">(assumed total consumption over lifespan).</w:t>
      </w:r>
    </w:p>
    <w:p>
      <w:pPr>
        <w:numPr>
          <w:ilvl w:val="0"/>
          <w:numId w:val="1005"/>
        </w:numPr>
        <w:pStyle w:val="Compact"/>
      </w:pPr>
      <w:r>
        <w:rPr>
          <w:bCs/>
          <w:b/>
        </w:rPr>
        <w:t xml:space="preserve">European Grid Electricity Emission Factor:</w:t>
      </w:r>
      <w:r>
        <w:t xml:space="preserve"> </w:t>
      </w:r>
      <w:r>
        <w:t xml:space="preserve">An average of 0.28 kg CO2e/kWh for European grid electricity is applied.</w:t>
      </w:r>
    </w:p>
    <w:p>
      <w:pPr>
        <w:numPr>
          <w:ilvl w:val="0"/>
          <w:numId w:val="1005"/>
        </w:numPr>
        <w:pStyle w:val="Compact"/>
      </w:pPr>
      <w:r>
        <w:rPr>
          <w:bCs/>
          <w:b/>
        </w:rPr>
        <w:t xml:space="preserve">Calculated Use Phase Emissions (Illustrative):</w:t>
      </w:r>
      <w:r>
        <w:t xml:space="preserve"> </w:t>
      </w:r>
      <w:r>
        <w:t xml:space="preserve">Assuming `iqhsvlsgkx` = 100 kWh total over lifespan.</w:t>
      </w:r>
      <w:r>
        <w:t xml:space="preserve"> </w:t>
      </w:r>
      <w:r>
        <w:t xml:space="preserve">Use Phase Emissions = 100 kWh * 0.28 kg CO2e/kWh = 28.0 kg CO2e.</w:t>
      </w:r>
    </w:p>
    <w:bookmarkEnd w:id="29"/>
    <w:bookmarkStart w:id="30" w:name="X2449e76f36fce2c9fec3c701a472f020b80894d"/>
    <w:p>
      <w:pPr>
        <w:pStyle w:val="Heading3"/>
      </w:pPr>
      <w:r>
        <w:t xml:space="preserve">2.5. End-of-Life (EoL) Scenarios (Scope 3 - Downstream)</w:t>
      </w:r>
    </w:p>
    <w:p>
      <w:pPr>
        <w:numPr>
          <w:ilvl w:val="0"/>
          <w:numId w:val="1006"/>
        </w:numPr>
        <w:pStyle w:val="Compact"/>
      </w:pPr>
      <w:r>
        <w:rPr>
          <w:bCs/>
          <w:b/>
        </w:rPr>
        <w:t xml:space="preserve">Recyclability Percentage:</w:t>
      </w:r>
      <w:r>
        <w:t xml:space="preserve"> </w:t>
      </w:r>
      <w:r>
        <w:rPr>
          <w:bCs/>
          <w:b/>
        </w:rPr>
        <w:t xml:space="preserve">epiqvzdzqy %</w:t>
      </w:r>
      <w:r>
        <w:t xml:space="preserve"> </w:t>
      </w:r>
      <w:r>
        <w:t xml:space="preserve">of the product is recyclable.</w:t>
      </w:r>
    </w:p>
    <w:p>
      <w:pPr>
        <w:numPr>
          <w:ilvl w:val="0"/>
          <w:numId w:val="1006"/>
        </w:numPr>
        <w:pStyle w:val="Compact"/>
      </w:pPr>
      <w:r>
        <w:rPr>
          <w:bCs/>
          <w:b/>
        </w:rPr>
        <w:t xml:space="preserve">Circular/Take-back Programs:</w:t>
      </w:r>
      <w:r>
        <w:t xml:space="preserve"> </w:t>
      </w:r>
      <w:r>
        <w:rPr>
          <w:bCs/>
          <w:b/>
        </w:rPr>
        <w:t xml:space="preserve">mrssifiusf</w:t>
      </w:r>
      <w:r>
        <w:t xml:space="preserve"> </w:t>
      </w:r>
      <w:r>
        <w:t xml:space="preserve">is in place (e.g., "Product take-back scheme implemented").</w:t>
      </w:r>
    </w:p>
    <w:p>
      <w:pPr>
        <w:numPr>
          <w:ilvl w:val="0"/>
          <w:numId w:val="1006"/>
        </w:numPr>
        <w:pStyle w:val="Compact"/>
      </w:pPr>
      <w:r>
        <w:rPr>
          <w:bCs/>
          <w:b/>
        </w:rPr>
        <w:t xml:space="preserve">Recycling Emission Credit (Illustrative for plastics):</w:t>
      </w:r>
      <w:r>
        <w:t xml:space="preserve"> </w:t>
      </w:r>
      <w:r>
        <w:t xml:space="preserve">A credit of -1.5 kg CO2e/kg for recycled plastic is used to represent avoided virgin material production.</w:t>
      </w:r>
    </w:p>
    <w:p>
      <w:pPr>
        <w:numPr>
          <w:ilvl w:val="0"/>
          <w:numId w:val="1006"/>
        </w:numPr>
        <w:pStyle w:val="Compact"/>
      </w:pPr>
      <w:r>
        <w:rPr>
          <w:bCs/>
          <w:b/>
        </w:rPr>
        <w:t xml:space="preserve">Calculated EoL Impact (Illustrative):</w:t>
      </w:r>
      <w:r>
        <w:t xml:space="preserve"> </w:t>
      </w:r>
      <w:r>
        <w:t xml:space="preserve">Assuming total recyclable material from BOM = 0.8 kg.</w:t>
      </w:r>
      <w:r>
        <w:t xml:space="preserve"> </w:t>
      </w:r>
      <w:r>
        <w:t xml:space="preserve">Assuming `epiqvzdzqy` = 80%.</w:t>
      </w:r>
      <w:r>
        <w:t xml:space="preserve"> </w:t>
      </w:r>
      <w:r>
        <w:t xml:space="preserve">Recycled material = 0.8 kg * 80/100 = 0.64 kg.</w:t>
      </w:r>
      <w:r>
        <w:t xml:space="preserve"> </w:t>
      </w:r>
      <w:r>
        <w:t xml:space="preserve">EoL Credit = 0.64 kg * (-1.5 kg CO2e/kg) = -0.96 kg CO2e.</w:t>
      </w:r>
      <w:r>
        <w:t xml:space="preserve"> </w:t>
      </w:r>
      <w:r>
        <w:t xml:space="preserve">The presence of "Product take-back scheme implemented" (`mrssifiusf`) further supports the effective capture and processing of materials at end-of-life, enhancing the actualization of these recycling benefits.</w:t>
      </w:r>
    </w:p>
    <w:p>
      <w:r>
        <w:pict>
          <v:rect style="width:0;height:1.5pt" o:hralign="center" o:hrstd="t" o:hr="t"/>
        </w:pict>
      </w:r>
    </w:p>
    <w:bookmarkEnd w:id="30"/>
    <w:bookmarkEnd w:id="31"/>
    <w:bookmarkStart w:id="33" w:name="X439a6e6dcb43c636bf515ffaf3f59bce0bd6490"/>
    <w:p>
      <w:pPr>
        <w:pStyle w:val="Heading2"/>
      </w:pPr>
      <w:r>
        <w:t xml:space="preserve">4. Emission Calculation (Activity * Emission Factor = CO2e)</w:t>
      </w:r>
    </w:p>
    <w:p>
      <w:pPr>
        <w:pStyle w:val="FirstParagraph"/>
      </w:pPr>
      <w:r>
        <w:t xml:space="preserve">The total Product Carbon Footprint for</w:t>
      </w:r>
      <w:r>
        <w:t xml:space="preserve"> </w:t>
      </w:r>
      <w:r>
        <w:rPr>
          <w:bCs/>
          <w:b/>
        </w:rPr>
        <w:t xml:space="preserve">jlkddrwkuo</w:t>
      </w:r>
      <w:r>
        <w:t xml:space="preserve"> </w:t>
      </w:r>
      <w:r>
        <w:t xml:space="preserve">is calculated by summing emissions across all lifecycle stages. Calculations are based on activity data multiplied by appropriate emission factors, largely from industry standards (e.g., adapted from Ecoinvent/DEFRA principles).</w:t>
      </w:r>
    </w:p>
    <w:bookmarkStart w:id="32" w:name="Xa062d237a6f2685073ff5b44420d6564a506c35"/>
    <w:p>
      <w:pPr>
        <w:pStyle w:val="Heading3"/>
      </w:pPr>
      <w:r>
        <w:t xml:space="preserve">Summary of Illustrative PCF Calculation for jlkddrwkuo (per functional unit)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Notes / Assumptions</w:t>
            </w:r>
          </w:p>
        </w:tc>
      </w:tr>
      <w:tr>
        <w:tc>
          <w:tcPr/>
          <w:p>
            <w:pPr>
              <w:pStyle w:val="Compact"/>
              <w:jc w:val="left"/>
            </w:pPr>
            <w:r>
              <w:rPr>
                <w:bCs/>
                <w:b/>
              </w:rPr>
              <w:t xml:space="preserve">1. Materials Acquisition &amp; Pre-processing</w:t>
            </w:r>
          </w:p>
        </w:tc>
        <w:tc>
          <w:tcPr/>
          <w:p>
            <w:pPr>
              <w:pStyle w:val="Compact"/>
              <w:jc w:val="left"/>
            </w:pPr>
            <w:r>
              <w:t xml:space="preserve">Scope 3 (Upstream)</w:t>
            </w:r>
          </w:p>
        </w:tc>
        <w:tc>
          <w:tcPr/>
          <w:p>
            <w:pPr>
              <w:pStyle w:val="Compact"/>
              <w:jc w:val="left"/>
            </w:pPr>
            <w:r>
              <w:t xml:space="preserve">7.50</w:t>
            </w:r>
          </w:p>
        </w:tc>
        <w:tc>
          <w:tcPr/>
          <w:p>
            <w:pPr>
              <w:pStyle w:val="Compact"/>
              <w:jc w:val="left"/>
            </w:pPr>
            <w:r>
              <w:t xml:space="preserve">Directly from BOM \'Total Carbon\' column.</w:t>
            </w:r>
          </w:p>
        </w:tc>
      </w:tr>
      <w:tr>
        <w:tc>
          <w:tcPr/>
          <w:p>
            <w:pPr>
              <w:pStyle w:val="Compact"/>
              <w:jc w:val="left"/>
            </w:pPr>
            <w:r>
              <w:rPr>
                <w:bCs/>
                <w:b/>
              </w:rPr>
              <w:t xml:space="preserve">2. Production / Manufacturing</w:t>
            </w:r>
          </w:p>
        </w:tc>
        <w:tc>
          <w:tcPr/>
          <w:p>
            <w:pPr>
              <w:pStyle w:val="Compact"/>
              <w:jc w:val="left"/>
            </w:pPr>
            <w:r>
              <w:t xml:space="preserve">Scope 2</w:t>
            </w:r>
          </w:p>
        </w:tc>
        <w:tc>
          <w:tcPr/>
          <w:p>
            <w:pPr>
              <w:pStyle w:val="Compact"/>
              <w:jc w:val="left"/>
            </w:pPr>
            <w:r>
              <w:t xml:space="preserve">3.00</w:t>
            </w:r>
          </w:p>
        </w:tc>
        <w:tc>
          <w:tcPr/>
          <w:p>
            <w:pPr>
              <w:pStyle w:val="Compact"/>
              <w:jc w:val="left"/>
            </w:pPr>
            <w:r>
              <w:t xml:space="preserve">10 kWh/unit * 0.3 kg CO2e/kWh (China grid adjusted for 50% renewables).</w:t>
            </w:r>
          </w:p>
        </w:tc>
      </w:tr>
      <w:tr>
        <w:tc>
          <w:tcPr/>
          <w:p>
            <w:pPr>
              <w:pStyle w:val="Compact"/>
              <w:jc w:val="left"/>
            </w:pPr>
            <w:r>
              <w:rPr>
                <w:bCs/>
                <w:b/>
              </w:rPr>
              <w:t xml:space="preserve">3. Transport (Upstream &amp; Downstream)</w:t>
            </w:r>
          </w:p>
        </w:tc>
        <w:tc>
          <w:tcPr/>
          <w:p>
            <w:pPr>
              <w:pStyle w:val="Compact"/>
              <w:jc w:val="left"/>
            </w:pPr>
            <w:r>
              <w:t xml:space="preserve">Scope 3 (Upstream &amp; Downstream)</w:t>
            </w:r>
          </w:p>
        </w:tc>
        <w:tc>
          <w:tcPr/>
          <w:p>
            <w:pPr>
              <w:pStyle w:val="Compact"/>
              <w:jc w:val="left"/>
            </w:pPr>
            <w:r>
              <w:t xml:space="preserve">0.23</w:t>
            </w:r>
          </w:p>
        </w:tc>
        <w:tc>
          <w:tcPr/>
          <w:p>
            <w:pPr>
              <w:pStyle w:val="Compact"/>
              <w:jc w:val="left"/>
            </w:pPr>
            <w:r>
              <w:t xml:space="preserve">Ocean Freight (15,000km) + Road Freight (500km), for 0.8kg product.</w:t>
            </w:r>
          </w:p>
        </w:tc>
      </w:tr>
      <w:tr>
        <w:tc>
          <w:tcPr/>
          <w:p>
            <w:pPr>
              <w:pStyle w:val="Compact"/>
              <w:jc w:val="left"/>
            </w:pPr>
            <w:r>
              <w:rPr>
                <w:bCs/>
                <w:b/>
              </w:rPr>
              <w:t xml:space="preserve">4. Use Phase</w:t>
            </w:r>
          </w:p>
        </w:tc>
        <w:tc>
          <w:tcPr/>
          <w:p>
            <w:pPr>
              <w:pStyle w:val="Compact"/>
              <w:jc w:val="left"/>
            </w:pPr>
            <w:r>
              <w:t xml:space="preserve">Scope 3 (Downstream)</w:t>
            </w:r>
          </w:p>
        </w:tc>
        <w:tc>
          <w:tcPr/>
          <w:p>
            <w:pPr>
              <w:pStyle w:val="Compact"/>
              <w:jc w:val="left"/>
            </w:pPr>
            <w:r>
              <w:t xml:space="preserve">28.00</w:t>
            </w:r>
          </w:p>
        </w:tc>
        <w:tc>
          <w:tcPr/>
          <w:p>
            <w:pPr>
              <w:pStyle w:val="Compact"/>
              <w:jc w:val="left"/>
            </w:pPr>
            <w:r>
              <w:t xml:space="preserve">100 kWh total energy in use over lifespan * 0.28 kg CO2e/kWh (EU grid).</w:t>
            </w:r>
          </w:p>
        </w:tc>
      </w:tr>
      <w:tr>
        <w:tc>
          <w:tcPr/>
          <w:p>
            <w:pPr>
              <w:pStyle w:val="Compact"/>
              <w:jc w:val="left"/>
            </w:pPr>
            <w:r>
              <w:rPr>
                <w:bCs/>
                <w:b/>
              </w:rPr>
              <w:t xml:space="preserve">5. End-of-Life (EoL)</w:t>
            </w:r>
          </w:p>
        </w:tc>
        <w:tc>
          <w:tcPr/>
          <w:p>
            <w:pPr>
              <w:pStyle w:val="Compact"/>
              <w:jc w:val="left"/>
            </w:pPr>
            <w:r>
              <w:t xml:space="preserve">Scope 3 (Downstream)</w:t>
            </w:r>
          </w:p>
        </w:tc>
        <w:tc>
          <w:tcPr/>
          <w:p>
            <w:pPr>
              <w:pStyle w:val="Compact"/>
              <w:jc w:val="left"/>
            </w:pPr>
            <w:r>
              <w:t xml:space="preserve">-0.96</w:t>
            </w:r>
          </w:p>
        </w:tc>
        <w:tc>
          <w:tcPr/>
          <w:p>
            <w:pPr>
              <w:pStyle w:val="Compact"/>
              <w:jc w:val="left"/>
            </w:pPr>
            <w:r>
              <w:t xml:space="preserve">80% recyclability of 0.8kg material * -1.5 kg CO2e/kg recycling credit.</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37.77</w:t>
            </w:r>
          </w:p>
        </w:tc>
        <w:tc>
          <w:tcPr/>
          <w:p>
            <w:pPr>
              <w:pStyle w:val="Compact"/>
            </w:pPr>
          </w:p>
        </w:tc>
      </w:tr>
    </w:tbl>
    <w:p>
      <w:pPr>
        <w:pStyle w:val="BodyText"/>
      </w:pPr>
      <w:r>
        <w:rPr>
          <w:iCs/>
          <w:i/>
        </w:rPr>
        <w:t xml:space="preserve">Note: All emission factors for transport and electricity are representative industry averages and may vary based on specific suppliers, routes, and energy mixes. The figures presented are illustrative based on the provided parameters and assumed typical emission factors.</w:t>
      </w:r>
    </w:p>
    <w:p>
      <w:r>
        <w:pict>
          <v:rect style="width:0;height:1.5pt" o:hralign="center" o:hrstd="t" o:hr="t"/>
        </w:pict>
      </w:r>
    </w:p>
    <w:bookmarkEnd w:id="32"/>
    <w:bookmarkEnd w:id="33"/>
    <w:bookmarkStart w:id="39" w:name="review-reporting"/>
    <w:p>
      <w:pPr>
        <w:pStyle w:val="Heading2"/>
      </w:pPr>
      <w:r>
        <w:t xml:space="preserve">5. Review &amp; Reporting</w:t>
      </w:r>
    </w:p>
    <w:bookmarkStart w:id="34" w:name="emission-hotspots"/>
    <w:p>
      <w:pPr>
        <w:pStyle w:val="Heading3"/>
      </w:pPr>
      <w:r>
        <w:t xml:space="preserve">5.1. Emission Hotspots</w:t>
      </w:r>
    </w:p>
    <w:p>
      <w:pPr>
        <w:pStyle w:val="FirstParagraph"/>
      </w:pPr>
      <w:r>
        <w:t xml:space="preserve">Based on the illustrative calculations, the primary emission hotspots for</w:t>
      </w:r>
      <w:r>
        <w:t xml:space="preserve"> </w:t>
      </w:r>
      <w:r>
        <w:rPr>
          <w:bCs/>
          <w:b/>
        </w:rPr>
        <w:t xml:space="preserve">jlkddrwkuo</w:t>
      </w:r>
      <w:r>
        <w:t xml:space="preserve"> </w:t>
      </w:r>
      <w:r>
        <w:t xml:space="preserve">are:</w:t>
      </w:r>
    </w:p>
    <w:p>
      <w:pPr>
        <w:numPr>
          <w:ilvl w:val="0"/>
          <w:numId w:val="1007"/>
        </w:numPr>
        <w:pStyle w:val="Compact"/>
      </w:pPr>
      <w:r>
        <w:rPr>
          <w:bCs/>
          <w:b/>
        </w:rPr>
        <w:t xml:space="preserve">Use Phase (Approx. 74%):</w:t>
      </w:r>
      <w:r>
        <w:t xml:space="preserve"> </w:t>
      </w:r>
      <w:r>
        <w:t xml:space="preserve">The energy consumed during the product\'s lifespan contributes the most significant portion to the overall footprint. This highlights the importance of energy efficiency during product design and consumer usage patterns.</w:t>
      </w:r>
    </w:p>
    <w:p>
      <w:pPr>
        <w:numPr>
          <w:ilvl w:val="0"/>
          <w:numId w:val="1007"/>
        </w:numPr>
        <w:pStyle w:val="Compact"/>
      </w:pPr>
      <w:r>
        <w:rPr>
          <w:bCs/>
          <w:b/>
        </w:rPr>
        <w:t xml:space="preserve">Materials Acquisition &amp; Pre-processing (Approx. 20%):</w:t>
      </w:r>
      <w:r>
        <w:t xml:space="preserve"> </w:t>
      </w:r>
      <w:r>
        <w:t xml:space="preserve">The extraction and processing of raw materials, particularly the Aluminum Casing, represent a substantial upstream impact. This suggests opportunities for material optimization, use of recycled content, or lower-carbon alternatives.</w:t>
      </w:r>
    </w:p>
    <w:p>
      <w:pPr>
        <w:numPr>
          <w:ilvl w:val="0"/>
          <w:numId w:val="1007"/>
        </w:numPr>
        <w:pStyle w:val="Compact"/>
      </w:pPr>
      <w:r>
        <w:rPr>
          <w:bCs/>
          <w:b/>
        </w:rPr>
        <w:t xml:space="preserve">Production / Manufacturing (Approx. 8%):</w:t>
      </w:r>
      <w:r>
        <w:t xml:space="preserve"> </w:t>
      </w:r>
      <w:r>
        <w:t xml:space="preserve">While renewable energy usage reduces this impact, further decarbonization of the energy supply or efficiency improvements in manufacturing processes could yield additional reductions.</w:t>
      </w:r>
    </w:p>
    <w:bookmarkEnd w:id="34"/>
    <w:bookmarkStart w:id="35" w:name="reliability-and-limitations"/>
    <w:p>
      <w:pPr>
        <w:pStyle w:val="Heading3"/>
      </w:pPr>
      <w:r>
        <w:t xml:space="preserve">5.2. Reliability and Limitations</w:t>
      </w:r>
    </w:p>
    <w:p>
      <w:pPr>
        <w:numPr>
          <w:ilvl w:val="0"/>
          <w:numId w:val="1008"/>
        </w:numPr>
        <w:pStyle w:val="Compact"/>
      </w:pPr>
      <w:r>
        <w:rPr>
          <w:bCs/>
          <w:b/>
        </w:rPr>
        <w:t xml:space="preserve">Data Specificity:</w:t>
      </w:r>
      <w:r>
        <w:t xml:space="preserve"> </w:t>
      </w:r>
      <w:r>
        <w:t xml:space="preserve">The accuracy of this report is highly dependent on the specificity and granularity of the provided input data. While the BOM offers high detail for materials, general industry-average emission factors were used for transport and electricity consumption where primary data was not available for every specific supply chain partner or energy source.</w:t>
      </w:r>
    </w:p>
    <w:p>
      <w:pPr>
        <w:numPr>
          <w:ilvl w:val="0"/>
          <w:numId w:val="1008"/>
        </w:numPr>
        <w:pStyle w:val="Compact"/>
      </w:pPr>
      <w:r>
        <w:rPr>
          <w:bCs/>
          <w:b/>
        </w:rPr>
        <w:t xml:space="preserve">Dynamic Factors:</w:t>
      </w:r>
      <w:r>
        <w:t xml:space="preserve"> </w:t>
      </w:r>
      <w:r>
        <w:t xml:space="preserve">Emission factors for grid electricity, transport, and material production are dynamic and subject to change with advancements in technology, policy, and energy infrastructure.</w:t>
      </w:r>
    </w:p>
    <w:p>
      <w:pPr>
        <w:numPr>
          <w:ilvl w:val="0"/>
          <w:numId w:val="1008"/>
        </w:numPr>
        <w:pStyle w:val="Compact"/>
      </w:pPr>
      <w:r>
        <w:rPr>
          <w:bCs/>
          <w:b/>
        </w:rPr>
        <w:t xml:space="preserve">Scope 3 Coverage:</w:t>
      </w:r>
      <w:r>
        <w:t xml:space="preserve"> </w:t>
      </w:r>
      <w:r>
        <w:t xml:space="preserve">While targeting 95% Scope 3 coverage is a key objective, achieving this requires extensive data collection across the entire value chain. The illustrative calculations represent a robust approximation based on available information.</w:t>
      </w:r>
    </w:p>
    <w:p>
      <w:pPr>
        <w:numPr>
          <w:ilvl w:val="0"/>
          <w:numId w:val="1008"/>
        </w:numPr>
        <w:pStyle w:val="Compact"/>
      </w:pPr>
      <w:r>
        <w:rPr>
          <w:bCs/>
          <w:b/>
        </w:rPr>
        <w:t xml:space="preserve">LSR Standard Application:</w:t>
      </w:r>
      <w:r>
        <w:t xml:space="preserve"> </w:t>
      </w:r>
      <w:r>
        <w:t xml:space="preserve">As the LSR Standard is relatively new (effective Jan 1, 2027), its full implementation for all raw material supply chains might require further data collection and guidance when it becomes mandatory. Currently, the principles are conceptually applied.</w:t>
      </w:r>
    </w:p>
    <w:bookmarkEnd w:id="35"/>
    <w:bookmarkStart w:id="38" w:name="recommendations-for-emission-reduction"/>
    <w:p>
      <w:pPr>
        <w:pStyle w:val="Heading3"/>
      </w:pPr>
      <w:r>
        <w:t xml:space="preserve">5.3. Recommendations for Emission Reduction</w:t>
      </w:r>
    </w:p>
    <w:p>
      <w:pPr>
        <w:numPr>
          <w:ilvl w:val="0"/>
          <w:numId w:val="1009"/>
        </w:numPr>
        <w:pStyle w:val="Compact"/>
      </w:pPr>
      <w:r>
        <w:rPr>
          <w:bCs/>
          <w:b/>
        </w:rPr>
        <w:t xml:space="preserve">Optimize Use Phase Efficiency:</w:t>
      </w:r>
      <w:r>
        <w:t xml:space="preserve"> </w:t>
      </w:r>
      <w:r>
        <w:t xml:space="preserve">Focus on designing</w:t>
      </w:r>
      <w:r>
        <w:t xml:space="preserve"> </w:t>
      </w:r>
      <w:r>
        <w:rPr>
          <w:bCs/>
          <w:b/>
        </w:rPr>
        <w:t xml:space="preserve">jlkddrwkuo</w:t>
      </w:r>
      <w:r>
        <w:t xml:space="preserve"> </w:t>
      </w:r>
      <w:r>
        <w:t xml:space="preserve">for maximum energy efficiency during its operational life. Educate end-users on optimal usage to minimize energy consumption.</w:t>
      </w:r>
    </w:p>
    <w:p>
      <w:pPr>
        <w:numPr>
          <w:ilvl w:val="0"/>
          <w:numId w:val="1009"/>
        </w:numPr>
        <w:pStyle w:val="Compact"/>
      </w:pPr>
      <w:r>
        <w:rPr>
          <w:bCs/>
          <w:b/>
        </w:rPr>
        <w:t xml:space="preserve">Material Decarbonization:</w:t>
      </w:r>
      <w:r>
        <w:t xml:space="preserve"> </w:t>
      </w:r>
      <w:r>
        <w:t xml:space="preserve">Explore opportunities to substitute high-impact materials (e.g., Aluminum) with lower-carbon alternatives or materials with higher recycled content. Engage with suppliers to promote greener production processes.</w:t>
      </w:r>
    </w:p>
    <w:p>
      <w:pPr>
        <w:numPr>
          <w:ilvl w:val="0"/>
          <w:numId w:val="1009"/>
        </w:numPr>
        <w:pStyle w:val="Compact"/>
      </w:pPr>
      <w:r>
        <w:rPr>
          <w:bCs/>
          <w:b/>
        </w:rPr>
        <w:t xml:space="preserve">Renewable Energy Procurement:</w:t>
      </w:r>
      <w:r>
        <w:t xml:space="preserve"> </w:t>
      </w:r>
      <w:r>
        <w:t xml:space="preserve">Continuously increase the percentage of renewable energy used in manufacturing facilities, and encourage suppliers to do the same.</w:t>
      </w:r>
    </w:p>
    <w:p>
      <w:pPr>
        <w:numPr>
          <w:ilvl w:val="0"/>
          <w:numId w:val="1009"/>
        </w:numPr>
        <w:pStyle w:val="Compact"/>
      </w:pPr>
      <w:r>
        <w:rPr>
          <w:bCs/>
          <w:b/>
        </w:rPr>
        <w:t xml:space="preserve">Logistics Optimization:</w:t>
      </w:r>
      <w:r>
        <w:t xml:space="preserve"> </w:t>
      </w:r>
      <w:r>
        <w:t xml:space="preserve">Investigate opportunities to optimize transport routes, utilize more efficient transport modes (e.g., rail instead of road where feasible), and consolidate shipments to reduce emissions.</w:t>
      </w:r>
    </w:p>
    <w:p>
      <w:pPr>
        <w:numPr>
          <w:ilvl w:val="0"/>
          <w:numId w:val="1009"/>
        </w:numPr>
        <w:pStyle w:val="Compact"/>
      </w:pPr>
      <w:r>
        <w:rPr>
          <w:bCs/>
          <w:b/>
        </w:rPr>
        <w:t xml:space="preserve">Strengthen Circularity:</w:t>
      </w:r>
      <w:r>
        <w:t xml:space="preserve"> </w:t>
      </w:r>
      <w:r>
        <w:t xml:space="preserve">Leverage the</w:t>
      </w:r>
      <w:r>
        <w:t xml:space="preserve"> </w:t>
      </w:r>
      <w:r>
        <w:rPr>
          <w:bCs/>
          <w:b/>
        </w:rPr>
        <w:t xml:space="preserve">epiqvzdzqy % recyclability</w:t>
      </w:r>
      <w:r>
        <w:t xml:space="preserve"> </w:t>
      </w:r>
      <w:r>
        <w:t xml:space="preserve">and</w:t>
      </w:r>
      <w:r>
        <w:t xml:space="preserve"> </w:t>
      </w:r>
      <w:r>
        <w:rPr>
          <w:bCs/>
          <w:b/>
        </w:rPr>
        <w:t xml:space="preserve">mrssifiusf</w:t>
      </w:r>
      <w:r>
        <w:t xml:space="preserve"> </w:t>
      </w:r>
      <w:r>
        <w:t xml:space="preserve">(circular/take-back programs) by actively promoting and facilitating the return and recycling of products at their end-of-life to maximize material recovery and minimize waste.</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bookmarkStart w:id="36" w:name="pageNumber"/>
      <w:bookmarkEnd w:id="36"/>
      <w:r>
        <w:t xml:space="preserve"> </w:t>
      </w:r>
      <w:r>
        <w:t xml:space="preserve">of</w:t>
      </w:r>
      <w:r>
        <w:t xml:space="preserve"> </w:t>
      </w:r>
      <w:bookmarkStart w:id="37" w:name="totalPages"/>
      <w:bookmarkEnd w:id="37"/>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jlkddrwkuo - lssuyuyxky</dc:title>
  <dc:creator/>
  <dc:description>High-detail Product Carbon Footprint (PCF) analysis for product jlkddrwkuo by lssuyuyxky, adhering to GHG Protocol standards and 2026 updates, performed by Senior Sustainability Consultant vppirxfkvl.</dc:description>
  <dc:language>en</dc:language>
  <cp:keywords/>
  <dcterms:created xsi:type="dcterms:W3CDTF">2026-07-15T06:39:24Z</dcterms:created>
  <dcterms:modified xsi:type="dcterms:W3CDTF">2026-07-15T06:39:24Z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