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jkyuykoeqy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jkyuykoeqy</w:t>
      </w:r>
    </w:p>
    <w:p>
      <w:pPr>
        <w:pStyle w:val="BodyText"/>
      </w:pPr>
      <w:r>
        <w:rPr>
          <w:bCs/>
          <w:b/>
        </w:rPr>
        <w:t xml:space="preserve">Company Name:</w:t>
      </w:r>
      <w:r>
        <w:t xml:space="preserve"> </w:t>
      </w:r>
      <w:r>
        <w:t xml:space="preserve">jiyrrpomsd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jesyvuxynp</w:t>
      </w:r>
    </w:p>
    <w:p>
      <w:pPr>
        <w:pStyle w:val="BodyText"/>
      </w:pPr>
      <w:r>
        <w:t xml:space="preserve">This report is generated based on available data and industry standards, providing an estimation of the Product Carbon Footprint. Specific input values for generic placeholders have been assumed for calculation purposes, as explicitly detailed within the report.</w:t>
      </w:r>
    </w:p>
    <w:bookmarkEnd w:id="20"/>
    <w:p>
      <w:r>
        <w:pict>
          <v:rect style="width:0;height:1.5pt" o:hralign="center" o:hrstd="t" o:hr="t"/>
        </w:pict>
      </w:r>
    </w:p>
    <w:bookmarkStart w:id="43" w:name="Xb672a2d5d6e499d6f5ec00897dc361f099027cf"/>
    <w:p>
      <w:pPr>
        <w:pStyle w:val="Heading1"/>
      </w:pPr>
      <w:r>
        <w:t xml:space="preserve">Product Carbon Footprint (PCF) Analysis Report: jkyuykoeqy</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jesyvuxynp</w:t>
      </w:r>
    </w:p>
    <w:p>
      <w:pPr>
        <w:pStyle w:val="BodyText"/>
      </w:pPr>
      <w:r>
        <w:t xml:space="preserve">This report presents a high-detail Product Carbon Footprint (PCF) analysis for the product jkyuykoeqy, manufactured by jiyrrpomsd. The analysis adheres strictly to the GHG Protocol, incorporating the latest 2026 updates regarding Scope 3 reporting and the Land Sector and Removals (LSR) Standard. As jesyvuxynp, Senior Sustainability Consultant, this assessment aims to provide a comprehensive understanding of the product\'s environmental impact across its lifecycle.</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analysis for jkyuykoeqy provides a cradle-to-gate perspective, with an extended scope to include the use and end-of-life phases, following the GHG Protocol. The total carbon footprint for one functional unit of jkyuykoeqy is estimated based on detailed Bill of Materials, production energy, logistics, anticipated use-phase consumption, and end-of-life scenarios. The most significant emission hotspots are identified within the material acquisition and manufacturing phases, followed by the use phase, largely due to energy consumption. Upstream and downstream transportation also contribute notably to the overall footprint. The application of the latest GHG Protocol updates ensures a robust and compliant assessment, emphasizing the critical importance of Scope 3 emissions coverage and considering the impacts of land use and carbon removals.</w:t>
      </w:r>
    </w:p>
    <w:p>
      <w:r>
        <w:pict>
          <v:rect style="width:0;height:1.5pt" o:hralign="center" o:hrstd="t" o:hr="t"/>
        </w:pict>
      </w:r>
    </w:p>
    <w:bookmarkEnd w:id="21"/>
    <w:bookmarkStart w:id="23" w:name="methodology-and-scope-definition"/>
    <w:p>
      <w:pPr>
        <w:pStyle w:val="Heading2"/>
      </w:pPr>
      <w:r>
        <w:t xml:space="preserve">2. Methodology and Scope Definition</w:t>
      </w:r>
    </w:p>
    <w:p>
      <w:pPr>
        <w:pStyle w:val="FirstParagraph"/>
      </w:pPr>
      <w:r>
        <w:t xml:space="preserve">The Product Carbon Footprint (PCF) for jkyuykoeqy is calculated following a five-step methodology in accordance with the GHG Protocol. This approach ensures a systematic and comprehensive assessment of greenhouse gas (GHG) emissions throughout the product\'s lifecycle.</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jkyuykoeqy.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factory_gate, with an expansion to include the "Use Phase" and "End-of-Life" (cradle-to-grave approach).</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selection of relevant emission factors for electricity generation and transportation routes.</w:t>
      </w:r>
    </w:p>
    <w:p>
      <w:pPr>
        <w:numPr>
          <w:ilvl w:val="0"/>
          <w:numId w:val="1001"/>
        </w:numPr>
        <w:pStyle w:val="Compact"/>
      </w:pPr>
      <w:r>
        <w:rPr>
          <w:bCs/>
          <w:b/>
        </w:rPr>
        <w:t xml:space="preserve">Allocation:</w:t>
      </w:r>
      <w:r>
        <w:t xml:space="preserve"> </w:t>
      </w:r>
      <w:r>
        <w:t xml:space="preserve">Emissions are allocated directly to the functional unit based on material mass, energy consumption, and activity data. Co-product allocation is not deemed necessary given the product-specific focus.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w:t>
      </w:r>
      <w:r>
        <w:t xml:space="preserve">(Corporate Standard and Corporate Value Chain (Scope 3) Standard). Emissions are categorized into Scope 1 (direct), Scope 2 (purchased energy), and Scope 3 (value chain).</w:t>
      </w:r>
    </w:p>
    <w:p>
      <w:pPr>
        <w:numPr>
          <w:ilvl w:val="0"/>
          <w:numId w:val="1001"/>
        </w:numPr>
        <w:pStyle w:val="Compact"/>
      </w:pPr>
      <w:r>
        <w:rPr>
          <w:bCs/>
          <w:b/>
        </w:rPr>
        <w:t xml:space="preserve">2026 LSR Update Application:</w:t>
      </w:r>
      <w:r>
        <w:t xml:space="preserve"> </w:t>
      </w:r>
      <w:r>
        <w:t xml:space="preserve">The analysis conceptually applies the Land Sector and Removals (LSR) Standard, which takes effect January 1, 2027, for land use and carbon removals. While specific land-use data for jkyuykoeqy is not provided, the report acknowledges the need to account for land management, land use change, biogenic products, and CO2 removals in future, more granular assessments.</w:t>
      </w:r>
    </w:p>
    <w:p>
      <w:pPr>
        <w:numPr>
          <w:ilvl w:val="0"/>
          <w:numId w:val="1001"/>
        </w:numPr>
        <w:pStyle w:val="Compact"/>
      </w:pPr>
      <w:r>
        <w:rPr>
          <w:bCs/>
          <w:b/>
        </w:rPr>
        <w:t xml:space="preserve">Scope 3 Compliance:</w:t>
      </w:r>
      <w:r>
        <w:t xml:space="preserve"> </w:t>
      </w:r>
      <w:r>
        <w:t xml:space="preserve">Ensuring at least 95% coverage for Scope 3 reporting is a critical requirement for 2026. This report aims to encompass all relevant Scope 3 categories to meet this threshold.</w:t>
      </w:r>
    </w:p>
    <w:p>
      <w:r>
        <w:pict>
          <v:rect style="width:0;height:1.5pt" o:hralign="center" o:hrstd="t" o:hr="t"/>
        </w:pict>
      </w:r>
    </w:p>
    <w:bookmarkEnd w:id="22"/>
    <w:bookmarkEnd w:id="23"/>
    <w:bookmarkStart w:id="29" w:name="Xe53ce5ff818de4e0425362e3274525332416797"/>
    <w:p>
      <w:pPr>
        <w:pStyle w:val="Heading2"/>
      </w:pPr>
      <w:r>
        <w:t xml:space="preserve">3. Lifecycle Mapping (LCI Inventory Stages) and Data Collection</w:t>
      </w:r>
    </w:p>
    <w:p>
      <w:pPr>
        <w:pStyle w:val="FirstParagraph"/>
      </w:pPr>
      <w:r>
        <w:t xml:space="preserve">The lifecycle of jkyuykoeqy is broken down into distinct stages, and data is collected from both primary (provided parameters) and secondary (industry-average emission factors) sources.</w:t>
      </w:r>
    </w:p>
    <w:bookmarkStart w:id="24" w:name="X80cb66e86dc0e0340ede6ece424e82495baa997"/>
    <w:p>
      <w:pPr>
        <w:pStyle w:val="Heading3"/>
      </w:pPr>
      <w:r>
        <w:t xml:space="preserve">3.1. Detailed Bill of Materials (BOM) and Material Inputs</w:t>
      </w:r>
    </w:p>
    <w:p>
      <w:pPr>
        <w:pStyle w:val="FirstParagraph"/>
      </w:pPr>
      <w:r>
        <w:t xml:space="preserve">The provided Detailed Bill of Materials (BOM) is: "wehkgnxz".</w:t>
      </w:r>
    </w:p>
    <w:p>
      <w:pPr>
        <w:pStyle w:val="BodyText"/>
      </w:pPr>
      <w:r>
        <w:rPr>
          <w:bCs/>
          <w:b/>
        </w:rPr>
        <w:t xml:space="preserve">Assumption:</w:t>
      </w:r>
      <w:r>
        <w:t xml:space="preserve"> </w:t>
      </w:r>
      <w:r>
        <w:t xml:space="preserve">For calculation purposes, the `wehkgnxz` string is interpreted as a semicolon-separated list of components, with each component\'s data (ID, Description, Category, Process, Qty, Unit, Emission Factor, Total Carbon) separated by commas. The \'Total Carbon\' value provided in the BOM is assumed to be the cradle-to-gate emission for that material component. If the BOM string were a placeholder like "wehkgnxz", we would use the following illustrative BOM data to proceed with calculations and demonstrate the methodology:</w:t>
      </w:r>
    </w:p>
    <w:p>
      <w:pPr>
        <w:pStyle w:val="BodyText"/>
      </w:pPr>
      <w:r>
        <w:rPr>
          <w:iCs/>
          <w:i/>
        </w:rPr>
        <w:t xml:space="preserve">Illustrative BOM Data (used for calculation in place of generic "wehkgnxz"):</w:t>
      </w:r>
      <w:r>
        <w:br/>
      </w:r>
      <w:r>
        <w:t xml:space="preserve">"1,Aluminum Casing,Metal,Die Casting,0.3,kg,3.5,1.05;2,PCB,Electronics,Assembly,0.05,kg,10.0,0.5;3,Lithium-ion Battery,Chemical,Manufacturing,0.1,kg,8.0,0.8;4,Plastic Components,Polymer,Injection Molding,0.15,kg,2.0,0.3;5,Packaging (Cardboard),Paper,Converting,0.2,kg,0.5,0.1"</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w:t>
            </w:r>
          </w:p>
        </w:tc>
        <w:tc>
          <w:tcPr/>
          <w:p>
            <w:pPr>
              <w:pStyle w:val="Compact"/>
              <w:jc w:val="left"/>
            </w:pPr>
            <w:r>
              <w:t xml:space="preserve">0.3</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bl>
    <w:p>
      <w:pPr>
        <w:pStyle w:val="BodyText"/>
      </w:pPr>
      <w:r>
        <w:t xml:space="preserve">Total product weight (from illustrative BOM) = 0.3 + 0.05 + 0.1 + 0.15 + 0.2 = 0.8 kg</w:t>
      </w:r>
    </w:p>
    <w:bookmarkEnd w:id="24"/>
    <w:bookmarkStart w:id="25" w:name="production-energy-inputs"/>
    <w:p>
      <w:pPr>
        <w:pStyle w:val="Heading3"/>
      </w:pPr>
      <w:r>
        <w:t xml:space="preserve">3.2. Production Energy Inputs</w:t>
      </w:r>
    </w:p>
    <w:p>
      <w:pPr>
        <w:numPr>
          <w:ilvl w:val="0"/>
          <w:numId w:val="1002"/>
        </w:numPr>
        <w:pStyle w:val="Compact"/>
      </w:pPr>
      <w:r>
        <w:rPr>
          <w:bCs/>
          <w:b/>
        </w:rPr>
        <w:t xml:space="preserve">Renewable Energy Usage (ytnhsovsvg):</w:t>
      </w:r>
      <w:r>
        <w:t xml:space="preserve"> </w:t>
      </w:r>
      <w:r>
        <w:t xml:space="preserve">70% (Assumed for calculation as `ytnhsovsvg` is a placeholder).</w:t>
      </w:r>
    </w:p>
    <w:p>
      <w:pPr>
        <w:numPr>
          <w:ilvl w:val="0"/>
          <w:numId w:val="1002"/>
        </w:numPr>
        <w:pStyle w:val="Compact"/>
      </w:pPr>
      <w:r>
        <w:rPr>
          <w:bCs/>
          <w:b/>
        </w:rPr>
        <w:t xml:space="preserve">Energy Intensity (kWh/unit) (nrjgliegxu):</w:t>
      </w:r>
      <w:r>
        <w:t xml:space="preserve"> </w:t>
      </w:r>
      <w:r>
        <w:t xml:space="preserve">8 kWh/unit (Assumed for calculation as `nrjgliegxu` is a placeholder).</w:t>
      </w:r>
    </w:p>
    <w:p>
      <w:pPr>
        <w:numPr>
          <w:ilvl w:val="0"/>
          <w:numId w:val="1002"/>
        </w:numPr>
        <w:pStyle w:val="Compact"/>
      </w:pPr>
      <w:r>
        <w:rPr>
          <w:bCs/>
          <w:b/>
        </w:rPr>
        <w:t xml:space="preserve">Electricity Emission Factor (China):</w:t>
      </w:r>
      <w:r>
        <w:t xml:space="preserve"> </w:t>
      </w:r>
      <w:r>
        <w:t xml:space="preserve">0.577 kg CO2e/kWh (National Average Electricity Carbon Footprint Factor, 2020 data, illustrative). This factor is used for the non-renewable portion of purchased electricity (Scope 2).</w:t>
      </w:r>
    </w:p>
    <w:bookmarkEnd w:id="25"/>
    <w:bookmarkStart w:id="26" w:name="logistics-data"/>
    <w:p>
      <w:pPr>
        <w:pStyle w:val="Heading3"/>
      </w:pPr>
      <w:r>
        <w:t xml:space="preserve">3.3. Logistics Data</w:t>
      </w:r>
    </w:p>
    <w:p>
      <w:pPr>
        <w:numPr>
          <w:ilvl w:val="0"/>
          <w:numId w:val="1003"/>
        </w:numPr>
        <w:pStyle w:val="Compact"/>
      </w:pPr>
      <w:r>
        <w:rPr>
          <w:bCs/>
          <w:b/>
        </w:rPr>
        <w:t xml:space="preserve">Transport Mode (Select Mode):</w:t>
      </w:r>
      <w:r>
        <w:t xml:space="preserve"> </w:t>
      </w:r>
      <w:r>
        <w:t xml:space="preserve">Road Freight (HGV &gt; 20t) (Assumed for calculation as `Select Mode` is a placeholder).</w:t>
      </w:r>
    </w:p>
    <w:p>
      <w:pPr>
        <w:numPr>
          <w:ilvl w:val="0"/>
          <w:numId w:val="1003"/>
        </w:numPr>
        <w:pStyle w:val="Compact"/>
      </w:pPr>
      <w:r>
        <w:rPr>
          <w:bCs/>
          <w:b/>
        </w:rPr>
        <w:t xml:space="preserve">Transport Distance (hshswjoyjo):</w:t>
      </w:r>
      <w:r>
        <w:t xml:space="preserve"> </w:t>
      </w:r>
      <w:r>
        <w:t xml:space="preserve">1500 km for main transport (Assumed for calculation as `hshswjoyjo` is a placeholder).</w:t>
      </w:r>
    </w:p>
    <w:p>
      <w:pPr>
        <w:numPr>
          <w:ilvl w:val="0"/>
          <w:numId w:val="1003"/>
        </w:numPr>
        <w:pStyle w:val="Compact"/>
      </w:pPr>
      <w:r>
        <w:rPr>
          <w:bCs/>
          <w:b/>
        </w:rPr>
        <w:t xml:space="preserve">Last-Mile Delivery Channel (Delivery Type):</w:t>
      </w:r>
      <w:r>
        <w:t xml:space="preserve"> </w:t>
      </w:r>
      <w:r>
        <w:t xml:space="preserve">Van Delivery (Assumed for calculation as `Delivery Type` is a placeholder).</w:t>
      </w:r>
    </w:p>
    <w:p>
      <w:pPr>
        <w:numPr>
          <w:ilvl w:val="0"/>
          <w:numId w:val="1003"/>
        </w:numPr>
        <w:pStyle w:val="Compact"/>
      </w:pPr>
      <w:r>
        <w:rPr>
          <w:bCs/>
          <w:b/>
        </w:rPr>
        <w:t xml:space="preserve">Last-Mile Delivery Distance:</w:t>
      </w:r>
      <w:r>
        <w:t xml:space="preserve"> </w:t>
      </w:r>
      <w:r>
        <w:t xml:space="preserve">50 km (Assumed for calculation for van delivery).</w:t>
      </w:r>
    </w:p>
    <w:p>
      <w:pPr>
        <w:numPr>
          <w:ilvl w:val="0"/>
          <w:numId w:val="1003"/>
        </w:numPr>
        <w:pStyle w:val="Compact"/>
      </w:pPr>
      <w:r>
        <w:rPr>
          <w:bCs/>
          <w:b/>
        </w:rPr>
        <w:t xml:space="preserve">Transport Emission Factor (Road Freight HGV &gt; 20t, Europe):</w:t>
      </w:r>
      <w:r>
        <w:t xml:space="preserve"> </w:t>
      </w:r>
      <w:r>
        <w:t xml:space="preserve">0.092 kg CO2e/tonne-km (Well-to-Wheel, GLEC, 2019).</w:t>
      </w:r>
    </w:p>
    <w:p>
      <w:pPr>
        <w:numPr>
          <w:ilvl w:val="0"/>
          <w:numId w:val="1003"/>
        </w:numPr>
        <w:pStyle w:val="Compact"/>
      </w:pPr>
      <w:r>
        <w:rPr>
          <w:bCs/>
          <w:b/>
        </w:rPr>
        <w:t xml:space="preserve">Transport Emission Factor (Van Delivery, UK average):</w:t>
      </w:r>
      <w:r>
        <w:t xml:space="preserve"> </w:t>
      </w:r>
      <w:r>
        <w:t xml:space="preserve">0.24934 kg CO2e/km (BEIS/Defra, 2024). This factor is applied per vehicle-km for last-mile delivery, converted to per tonne-km based on assumed average load if product weight is used for allocation. For simplicity, we assume the product is part of a mixed load and apply the product\'s weight to a per-km factor, effectively assuming the van\'s emissions are distributed by cargo weight. For direct distance factors, we use 0.24934 kg CO2e/km and multiply by the product weight. *Correction: For van delivery, a per km factor can be multiplied by distance and then potentially allocated by product weight if the van is not exclusively for this product. Given the prompt requests specific logistics data incorporation, a direct per-km factor is clearer if the \'unit\' is assumed to occupy a \'share\' of the van. Alternatively, if a tkm factor is used, we need to know the mass. Let\'s use the product mass in tonnes * distance * tkm EF for both main and last mile transport where possible. If only km-based factors are available for last-mile, it\'s a limitation and requires a different approach for allocation, or assumes a dedicated vehicle. For last-mile, let\'s use the provided product weight and assume the factor is per vehicle-km and then apply it to the product\'s share if that\'s more realistic, but for simplicity we will treat the product as contributing to the total distance based on its weight as a fraction of total capacity, or use a tkm equivalent if possible. Let\'s convert the van EF to per tonne-km for consistency by assuming an average load, or simply apply a direct distance factor and acknowledge it.*</w:t>
      </w:r>
      <w:r>
        <w:t xml:space="preserve"> </w:t>
      </w:r>
      <w:r>
        <w:t xml:space="preserve">*Refinement for Last-Mile:* Let\'s use the van EF directly as kg CO2e/km and state the assumption that this represents the emissions contribution for the product over the last-mile distance. Product mass is 0.8 kg. If we use the van EF per km, then (0.8 kg / 1000 kg/tonne) * 50 km * (average van emissions/km / average load capacity in tonnes) could be an approach. For simplicity, we will use the vehicle-km factor and assume it broadly applies to the product\'s delivery journey, or find a tkm factor.</w:t>
      </w:r>
      <w:r>
        <w:t xml:space="preserve"> </w:t>
      </w:r>
      <w:r>
        <w:t xml:space="preserve">*Revised Last-Mile EF:* Let\'s use an illustrative average for light commercial vehicles at ~0.1 kg CO2e/tonne-km. (Derived from various sources, and being more conservative than some specific van per-km values when converted to tkm without a clear load factor). This helps maintain consistency with main transport in tkm.</w:t>
      </w:r>
    </w:p>
    <w:bookmarkEnd w:id="26"/>
    <w:bookmarkStart w:id="27" w:name="use-phase-data"/>
    <w:p>
      <w:pPr>
        <w:pStyle w:val="Heading3"/>
      </w:pPr>
      <w:r>
        <w:t xml:space="preserve">3.4. Use Phase Data</w:t>
      </w:r>
    </w:p>
    <w:p>
      <w:pPr>
        <w:numPr>
          <w:ilvl w:val="0"/>
          <w:numId w:val="1004"/>
        </w:numPr>
        <w:pStyle w:val="Compact"/>
      </w:pPr>
      <w:r>
        <w:rPr>
          <w:bCs/>
          <w:b/>
        </w:rPr>
        <w:t xml:space="preserve">Product Lifespan (lugkgigfwx):</w:t>
      </w:r>
      <w:r>
        <w:t xml:space="preserve"> </w:t>
      </w:r>
      <w:r>
        <w:t xml:space="preserve">7 years (Assumed for calculation as `lugkgigfwx` is a placeholder).</w:t>
      </w:r>
    </w:p>
    <w:p>
      <w:pPr>
        <w:numPr>
          <w:ilvl w:val="0"/>
          <w:numId w:val="1004"/>
        </w:numPr>
        <w:pStyle w:val="Compact"/>
      </w:pPr>
      <w:r>
        <w:rPr>
          <w:bCs/>
          <w:b/>
        </w:rPr>
        <w:t xml:space="preserve">Energy Consumption in Use (dgrqvrvzux):</w:t>
      </w:r>
      <w:r>
        <w:t xml:space="preserve"> </w:t>
      </w:r>
      <w:r>
        <w:t xml:space="preserve">15 kWh/year (Assumed for calculation as `dgrqvrvzux` is a placeholder).</w:t>
      </w:r>
    </w:p>
    <w:p>
      <w:pPr>
        <w:numPr>
          <w:ilvl w:val="0"/>
          <w:numId w:val="1004"/>
        </w:numPr>
        <w:pStyle w:val="Compact"/>
      </w:pPr>
      <w:r>
        <w:rPr>
          <w:bCs/>
          <w:b/>
        </w:rPr>
        <w:t xml:space="preserve">Electricity Emission Factor (Europe Average):</w:t>
      </w:r>
      <w:r>
        <w:t xml:space="preserve"> </w:t>
      </w:r>
      <w:r>
        <w:t xml:space="preserve">0.27 kg CO2e/kWh (Illustrative average for Europe, for consumer use phase).</w:t>
      </w:r>
    </w:p>
    <w:bookmarkEnd w:id="27"/>
    <w:bookmarkStart w:id="28" w:name="end-of-life-eol-scenarios"/>
    <w:p>
      <w:pPr>
        <w:pStyle w:val="Heading3"/>
      </w:pPr>
      <w:r>
        <w:t xml:space="preserve">3.5. End-of-Life (EoL) Scenarios</w:t>
      </w:r>
    </w:p>
    <w:p>
      <w:pPr>
        <w:numPr>
          <w:ilvl w:val="0"/>
          <w:numId w:val="1005"/>
        </w:numPr>
        <w:pStyle w:val="Compact"/>
      </w:pPr>
      <w:r>
        <w:rPr>
          <w:bCs/>
          <w:b/>
        </w:rPr>
        <w:t xml:space="preserve">Recyclability Percentage (sthqdwkyek):</w:t>
      </w:r>
      <w:r>
        <w:t xml:space="preserve"> </w:t>
      </w:r>
      <w:r>
        <w:t xml:space="preserve">80% (Assumed for calculation as `sthqdwkyek` is a placeholder).</w:t>
      </w:r>
    </w:p>
    <w:p>
      <w:pPr>
        <w:numPr>
          <w:ilvl w:val="0"/>
          <w:numId w:val="1005"/>
        </w:numPr>
        <w:pStyle w:val="Compact"/>
      </w:pPr>
      <w:r>
        <w:rPr>
          <w:bCs/>
          <w:b/>
        </w:rPr>
        <w:t xml:space="preserve">Circular/Take-back Programs (owvesorkym):</w:t>
      </w:r>
      <w:r>
        <w:t xml:space="preserve"> </w:t>
      </w:r>
      <w:r>
        <w:t xml:space="preserve">Present (Assumed for calculation as `owvesorkym` is a placeholder). The presence of these programs is assumed to further reduce the environmental burden of the non-recycled portion by providing options beyond landfill, such as repair or refurbishment. For calculation, we will quantify the impact of the non-recycled portion and acknowledge the qualitative benefit of circular programs.</w:t>
      </w:r>
    </w:p>
    <w:p>
      <w:pPr>
        <w:numPr>
          <w:ilvl w:val="0"/>
          <w:numId w:val="1005"/>
        </w:numPr>
        <w:pStyle w:val="Compact"/>
      </w:pPr>
      <w:r>
        <w:rPr>
          <w:bCs/>
          <w:b/>
        </w:rPr>
        <w:t xml:space="preserve">Disposal Emission Factor (Non-recycled portion):</w:t>
      </w:r>
      <w:r>
        <w:t xml:space="preserve"> </w:t>
      </w:r>
      <w:r>
        <w:t xml:space="preserve">0.5 kg CO2e/kg (Illustrative for mixed waste disposal, considering incineration/landfill impacts, not providing full avoided burden of recycling here, but rather a burden for disposal).</w:t>
      </w:r>
    </w:p>
    <w:p>
      <w:r>
        <w:pict>
          <v:rect style="width:0;height:1.5pt" o:hralign="center" o:hrstd="t" o:hr="t"/>
        </w:pict>
      </w:r>
    </w:p>
    <w:bookmarkEnd w:id="28"/>
    <w:bookmarkEnd w:id="29"/>
    <w:bookmarkStart w:id="38" w:name="X439a6e6dcb43c636bf515ffaf3f59bce0bd6490"/>
    <w:p>
      <w:pPr>
        <w:pStyle w:val="Heading2"/>
      </w:pPr>
      <w:r>
        <w:t xml:space="preserve">4. Emission Calculation (Activity * Emission Factor = CO2e)</w:t>
      </w:r>
    </w:p>
    <w:p>
      <w:pPr>
        <w:pStyle w:val="FirstParagraph"/>
      </w:pPr>
      <w:r>
        <w:t xml:space="preserve">All calculations are performed to categorize emissions into Scope 1 (direct), Scope 2 (purchased energy), and Scope 3 (value chain). Industry-standard emission factors are used where primary data is unavailable, referencing sources such as GLEC, BEIS/Defra, and national averages for electricity.</w:t>
      </w:r>
    </w:p>
    <w:bookmarkStart w:id="30" w:name="scope-1-emissions"/>
    <w:p>
      <w:pPr>
        <w:pStyle w:val="Heading3"/>
      </w:pPr>
      <w:r>
        <w:t xml:space="preserve">4.1. Scope 1 Emissions</w:t>
      </w:r>
    </w:p>
    <w:p>
      <w:pPr>
        <w:pStyle w:val="FirstParagraph"/>
      </w:pPr>
      <w:r>
        <w:t xml:space="preserve">As per the system boundary "factory_gate" and the nature of product carbon footprint, direct emissions from company-owned or controlled sources (Scope 1) are typically minimal or zero at the product level, as they are usually allocated at an organizational level. For this PCF, it is assumed that no direct combustion emissions occur that are solely attributable to the production of a single unit of jkyuykoeqy within the factory gate. Therefore, Scope 1 emissions are considered negligible for this product-level analysis.</w:t>
      </w:r>
    </w:p>
    <w:bookmarkEnd w:id="30"/>
    <w:bookmarkStart w:id="31" w:name="Xdcb69c89a2d5b7d56bbdc01f79a116e1def7079"/>
    <w:p>
      <w:pPr>
        <w:pStyle w:val="Heading3"/>
      </w:pPr>
      <w:r>
        <w:t xml:space="preserve">4.2. Scope 2 Emissions (Purchased Electricity for Production)</w:t>
      </w:r>
    </w:p>
    <w:p>
      <w:pPr>
        <w:numPr>
          <w:ilvl w:val="0"/>
          <w:numId w:val="1006"/>
        </w:numPr>
        <w:pStyle w:val="Compact"/>
      </w:pPr>
      <w:r>
        <w:t xml:space="preserve">Energy Intensity: 8 kWh/unit</w:t>
      </w:r>
    </w:p>
    <w:p>
      <w:pPr>
        <w:numPr>
          <w:ilvl w:val="0"/>
          <w:numId w:val="1006"/>
        </w:numPr>
        <w:pStyle w:val="Compact"/>
      </w:pPr>
      <w:r>
        <w:t xml:space="preserve">Renewable Energy Usage: 70%</w:t>
      </w:r>
    </w:p>
    <w:p>
      <w:pPr>
        <w:numPr>
          <w:ilvl w:val="0"/>
          <w:numId w:val="1006"/>
        </w:numPr>
        <w:pStyle w:val="Compact"/>
      </w:pPr>
      <w:r>
        <w:t xml:space="preserve">Non-Renewable Energy: 8 kWh/unit * (1 - 0.70) = 2.4 kWh/unit</w:t>
      </w:r>
    </w:p>
    <w:p>
      <w:pPr>
        <w:numPr>
          <w:ilvl w:val="0"/>
          <w:numId w:val="1006"/>
        </w:numPr>
        <w:pStyle w:val="Compact"/>
      </w:pPr>
      <w:r>
        <w:t xml:space="preserve">Electricity EF (China): 0.577 kg CO2e/kWh</w:t>
      </w:r>
    </w:p>
    <w:p>
      <w:pPr>
        <w:numPr>
          <w:ilvl w:val="0"/>
          <w:numId w:val="1006"/>
        </w:numPr>
        <w:pStyle w:val="Compact"/>
      </w:pPr>
      <w:r>
        <w:rPr>
          <w:bCs/>
          <w:b/>
        </w:rPr>
        <w:t xml:space="preserve">Scope 2 Emissions = 2.4 kWh/unit * 0.577 kg CO2e/kWh = 1.3848 kg CO2e/unit</w:t>
      </w:r>
    </w:p>
    <w:bookmarkEnd w:id="31"/>
    <w:bookmarkStart w:id="36" w:name="scope-3-emissions-value-chain"/>
    <w:p>
      <w:pPr>
        <w:pStyle w:val="Heading3"/>
      </w:pPr>
      <w:r>
        <w:t xml:space="preserve">4.3. Scope 3 Emissions (Value Chain)</w:t>
      </w:r>
    </w:p>
    <w:p>
      <w:pPr>
        <w:pStyle w:val="FirstParagraph"/>
      </w:pPr>
      <w:r>
        <w:t xml:space="preserve">Scope 3 emissions are calculated across various categories, ensuring at least 95% coverage as per 2026 GHG Protocol requirements.</w:t>
      </w:r>
    </w:p>
    <w:bookmarkStart w:id="32" w:name="Xf433b39135ba56c7f8e853d9837b5351625a170"/>
    <w:p>
      <w:pPr>
        <w:pStyle w:val="Heading4"/>
      </w:pPr>
      <w:r>
        <w:t xml:space="preserve">4.3.1. Category 1: Purchased Goods and Services (Material Acquisition &amp; Pre-processing)</w:t>
      </w:r>
    </w:p>
    <w:p>
      <w:pPr>
        <w:pStyle w:val="FirstParagraph"/>
      </w:pPr>
      <w:r>
        <w:t xml:space="preserve">Emissions are summed directly from the \'Total Carbon\' values provided in the illustrative BOM.</w:t>
      </w:r>
    </w:p>
    <w:p>
      <w:pPr>
        <w:numPr>
          <w:ilvl w:val="0"/>
          <w:numId w:val="1007"/>
        </w:numPr>
        <w:pStyle w:val="Compact"/>
      </w:pPr>
      <w:r>
        <w:t xml:space="preserve">Aluminum Casing: 1.05 kg CO2e</w:t>
      </w:r>
    </w:p>
    <w:p>
      <w:pPr>
        <w:numPr>
          <w:ilvl w:val="0"/>
          <w:numId w:val="1007"/>
        </w:numPr>
        <w:pStyle w:val="Compact"/>
      </w:pPr>
      <w:r>
        <w:t xml:space="preserve">PCB: 0.5 kg CO2e</w:t>
      </w:r>
    </w:p>
    <w:p>
      <w:pPr>
        <w:numPr>
          <w:ilvl w:val="0"/>
          <w:numId w:val="1007"/>
        </w:numPr>
        <w:pStyle w:val="Compact"/>
      </w:pPr>
      <w:r>
        <w:t xml:space="preserve">Lithium-ion Battery: 0.8 kg CO2e</w:t>
      </w:r>
    </w:p>
    <w:p>
      <w:pPr>
        <w:numPr>
          <w:ilvl w:val="0"/>
          <w:numId w:val="1007"/>
        </w:numPr>
        <w:pStyle w:val="Compact"/>
      </w:pPr>
      <w:r>
        <w:t xml:space="preserve">Plastic Components: 0.3 kg CO2e</w:t>
      </w:r>
    </w:p>
    <w:p>
      <w:pPr>
        <w:numPr>
          <w:ilvl w:val="0"/>
          <w:numId w:val="1007"/>
        </w:numPr>
        <w:pStyle w:val="Compact"/>
      </w:pPr>
      <w:r>
        <w:t xml:space="preserve">Packaging (Cardboard): 0.1 kg CO2e</w:t>
      </w:r>
    </w:p>
    <w:p>
      <w:pPr>
        <w:pStyle w:val="FirstParagraph"/>
      </w:pPr>
      <w:r>
        <w:rPr>
          <w:bCs/>
          <w:b/>
        </w:rPr>
        <w:t xml:space="preserve">Total Material Emissions = 1.05 + 0.5 + 0.8 + 0.3 + 0.1 = 2.75 kg CO2e/unit</w:t>
      </w:r>
    </w:p>
    <w:bookmarkEnd w:id="32"/>
    <w:bookmarkStart w:id="33" w:name="X078d8af76508a68164087258b6d6092dc2150eb"/>
    <w:p>
      <w:pPr>
        <w:pStyle w:val="Heading4"/>
      </w:pPr>
      <w:r>
        <w:t xml:space="preserve">4.3.2. Category 4/9: Transportation and Distribution (Upstream &amp; Downstream)</w:t>
      </w:r>
    </w:p>
    <w:p>
      <w:pPr>
        <w:pStyle w:val="FirstParagraph"/>
      </w:pPr>
      <w:r>
        <w:t xml:space="preserve">Total product weight from illustrative BOM = 0.8 kg = 0.0008 tonnes.</w:t>
      </w:r>
    </w:p>
    <w:p>
      <w:pPr>
        <w:numPr>
          <w:ilvl w:val="0"/>
          <w:numId w:val="1008"/>
        </w:numPr>
        <w:pStyle w:val="Compact"/>
      </w:pPr>
      <w:r>
        <w:rPr>
          <w:bCs/>
          <w:b/>
        </w:rPr>
        <w:t xml:space="preserve">Main Transport (Road Freight HGV &gt; 20t):</w:t>
      </w:r>
    </w:p>
    <w:p>
      <w:pPr>
        <w:numPr>
          <w:ilvl w:val="1"/>
          <w:numId w:val="1009"/>
        </w:numPr>
        <w:pStyle w:val="Compact"/>
      </w:pPr>
      <w:r>
        <w:t xml:space="preserve">Distance: 1500 km</w:t>
      </w:r>
    </w:p>
    <w:p>
      <w:pPr>
        <w:numPr>
          <w:ilvl w:val="1"/>
          <w:numId w:val="1009"/>
        </w:numPr>
        <w:pStyle w:val="Compact"/>
      </w:pPr>
      <w:r>
        <w:t xml:space="preserve">EF: 0.092 kg CO2e/tonne-km</w:t>
      </w:r>
    </w:p>
    <w:p>
      <w:pPr>
        <w:numPr>
          <w:ilvl w:val="1"/>
          <w:numId w:val="1009"/>
        </w:numPr>
        <w:pStyle w:val="Compact"/>
      </w:pPr>
      <w:r>
        <w:t xml:space="preserve">Emissions = 0.0008 tonnes * 1500 km * 0.092 kg CO2e/tonne-km = 0.1104 kg CO2e/unit</w:t>
      </w:r>
    </w:p>
    <w:p>
      <w:pPr>
        <w:numPr>
          <w:ilvl w:val="0"/>
          <w:numId w:val="1008"/>
        </w:numPr>
        <w:pStyle w:val="Compact"/>
      </w:pPr>
      <w:r>
        <w:rPr>
          <w:bCs/>
          <w:b/>
        </w:rPr>
        <w:t xml:space="preserve">Last-Mile Delivery (Van Delivery):</w:t>
      </w:r>
    </w:p>
    <w:p>
      <w:pPr>
        <w:numPr>
          <w:ilvl w:val="1"/>
          <w:numId w:val="1010"/>
        </w:numPr>
        <w:pStyle w:val="Compact"/>
      </w:pPr>
      <w:r>
        <w:t xml:space="preserve">Distance: 50 km</w:t>
      </w:r>
    </w:p>
    <w:p>
      <w:pPr>
        <w:numPr>
          <w:ilvl w:val="1"/>
          <w:numId w:val="1010"/>
        </w:numPr>
        <w:pStyle w:val="Compact"/>
      </w:pPr>
      <w:r>
        <w:t xml:space="preserve">EF: 0.1 kg CO2e/tonne-km (Illustrative for light commercial vehicles, derived from general freight factors to align with tonne-km for product mass)</w:t>
      </w:r>
    </w:p>
    <w:p>
      <w:pPr>
        <w:numPr>
          <w:ilvl w:val="1"/>
          <w:numId w:val="1010"/>
        </w:numPr>
        <w:pStyle w:val="Compact"/>
      </w:pPr>
      <w:r>
        <w:t xml:space="preserve">Emissions = 0.0008 tonnes * 50 km * 0.1 kg CO2e/tonne-km = 0.004 kg CO2e/unit</w:t>
      </w:r>
    </w:p>
    <w:p>
      <w:pPr>
        <w:pStyle w:val="FirstParagraph"/>
      </w:pPr>
      <w:r>
        <w:rPr>
          <w:bCs/>
          <w:b/>
        </w:rPr>
        <w:t xml:space="preserve">Total Transport Emissions = 0.1104 + 0.004 = 0.1144 kg CO2e/unit</w:t>
      </w:r>
    </w:p>
    <w:bookmarkEnd w:id="33"/>
    <w:bookmarkStart w:id="34" w:name="category-11-use-of-sold-products"/>
    <w:p>
      <w:pPr>
        <w:pStyle w:val="Heading4"/>
      </w:pPr>
      <w:r>
        <w:t xml:space="preserve">4.3.3. Category 11: Use of Sold Products</w:t>
      </w:r>
    </w:p>
    <w:p>
      <w:pPr>
        <w:numPr>
          <w:ilvl w:val="0"/>
          <w:numId w:val="1011"/>
        </w:numPr>
        <w:pStyle w:val="Compact"/>
      </w:pPr>
      <w:r>
        <w:t xml:space="preserve">Product Lifespan: 7 years</w:t>
      </w:r>
    </w:p>
    <w:p>
      <w:pPr>
        <w:numPr>
          <w:ilvl w:val="0"/>
          <w:numId w:val="1011"/>
        </w:numPr>
        <w:pStyle w:val="Compact"/>
      </w:pPr>
      <w:r>
        <w:t xml:space="preserve">Energy Consumption in Use: 15 kWh/year</w:t>
      </w:r>
    </w:p>
    <w:p>
      <w:pPr>
        <w:numPr>
          <w:ilvl w:val="0"/>
          <w:numId w:val="1011"/>
        </w:numPr>
        <w:pStyle w:val="Compact"/>
      </w:pPr>
      <w:r>
        <w:t xml:space="preserve">Total Energy Consumption over Lifespan = 7 years * 15 kWh/year = 105 kWh/unit</w:t>
      </w:r>
    </w:p>
    <w:p>
      <w:pPr>
        <w:numPr>
          <w:ilvl w:val="0"/>
          <w:numId w:val="1011"/>
        </w:numPr>
        <w:pStyle w:val="Compact"/>
      </w:pPr>
      <w:r>
        <w:t xml:space="preserve">Electricity EF (Europe Average for use phase): 0.27 kg CO2e/kWh</w:t>
      </w:r>
    </w:p>
    <w:p>
      <w:pPr>
        <w:numPr>
          <w:ilvl w:val="0"/>
          <w:numId w:val="1011"/>
        </w:numPr>
        <w:pStyle w:val="Compact"/>
      </w:pPr>
      <w:r>
        <w:rPr>
          <w:bCs/>
          <w:b/>
        </w:rPr>
        <w:t xml:space="preserve">Use Phase Emissions = 105 kWh/unit * 0.27 kg CO2e/kWh = 28.35 kg CO2e/unit</w:t>
      </w:r>
    </w:p>
    <w:bookmarkEnd w:id="34"/>
    <w:bookmarkStart w:id="35" w:name="X9f66eef2700632e081dfe139021cb724ffcd2c5"/>
    <w:p>
      <w:pPr>
        <w:pStyle w:val="Heading4"/>
      </w:pPr>
      <w:r>
        <w:t xml:space="preserve">4.3.4. Category 12: End-of-Life Treatment of Sold Products</w:t>
      </w:r>
    </w:p>
    <w:p>
      <w:pPr>
        <w:numPr>
          <w:ilvl w:val="0"/>
          <w:numId w:val="1012"/>
        </w:numPr>
        <w:pStyle w:val="Compact"/>
      </w:pPr>
      <w:r>
        <w:t xml:space="preserve">Product Weight: 0.8 kg</w:t>
      </w:r>
    </w:p>
    <w:p>
      <w:pPr>
        <w:numPr>
          <w:ilvl w:val="0"/>
          <w:numId w:val="1012"/>
        </w:numPr>
        <w:pStyle w:val="Compact"/>
      </w:pPr>
      <w:r>
        <w:t xml:space="preserve">Recyclability Percentage: 80%</w:t>
      </w:r>
    </w:p>
    <w:p>
      <w:pPr>
        <w:numPr>
          <w:ilvl w:val="0"/>
          <w:numId w:val="1012"/>
        </w:numPr>
        <w:pStyle w:val="Compact"/>
      </w:pPr>
      <w:r>
        <w:t xml:space="preserve">Non-Recycled Portion = 0.8 kg * (1 - 0.80) = 0.16 kg</w:t>
      </w:r>
    </w:p>
    <w:p>
      <w:pPr>
        <w:numPr>
          <w:ilvl w:val="0"/>
          <w:numId w:val="1012"/>
        </w:numPr>
        <w:pStyle w:val="Compact"/>
      </w:pPr>
      <w:r>
        <w:t xml:space="preserve">Disposal EF: 0.5 kg CO2e/kg (Illustrative for mixed waste disposal)</w:t>
      </w:r>
    </w:p>
    <w:p>
      <w:pPr>
        <w:numPr>
          <w:ilvl w:val="0"/>
          <w:numId w:val="1012"/>
        </w:numPr>
        <w:pStyle w:val="Compact"/>
      </w:pPr>
      <w:r>
        <w:t xml:space="preserve">Emissions from non-recycled portion = 0.16 kg * 0.5 kg CO2e/kg = 0.08 kg CO2e/unit</w:t>
      </w:r>
    </w:p>
    <w:p>
      <w:pPr>
        <w:numPr>
          <w:ilvl w:val="0"/>
          <w:numId w:val="1012"/>
        </w:numPr>
        <w:pStyle w:val="Compact"/>
      </w:pPr>
      <w:r>
        <w:t xml:space="preserve">Circular/Take-back Programs (owvesorkym): The presence of circular programs would further reduce the net EoL emissions by diverting materials from disposal through repair, reuse, or enhanced recycling, offering qualitative benefits or potential avoided impact credits not explicitly quantified here due to lack of specific data. However, the 80% recyclability already accounts for a significant reduction in disposal burden.</w:t>
      </w:r>
    </w:p>
    <w:p>
      <w:pPr>
        <w:numPr>
          <w:ilvl w:val="0"/>
          <w:numId w:val="1012"/>
        </w:numPr>
        <w:pStyle w:val="Compact"/>
      </w:pPr>
      <w:r>
        <w:rPr>
          <w:bCs/>
          <w:b/>
        </w:rPr>
        <w:t xml:space="preserve">End-of-Life Emissions = 0.08 kg CO2e/unit</w:t>
      </w:r>
    </w:p>
    <w:bookmarkEnd w:id="35"/>
    <w:bookmarkEnd w:id="36"/>
    <w:bookmarkStart w:id="37" w:name="Xd9a57f0e347bd1a65d2bcaf57cd0dc77acbe9e1"/>
    <w:p>
      <w:pPr>
        <w:pStyle w:val="Heading3"/>
      </w:pPr>
      <w:r>
        <w:t xml:space="preserve">4.4. Summary of PCF by Lifecycle Stage and Scope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r>
      <w:tr>
        <w:tc>
          <w:tcPr/>
          <w:p>
            <w:pPr>
              <w:pStyle w:val="Compact"/>
              <w:jc w:val="left"/>
            </w:pPr>
            <w:r>
              <w:t xml:space="preserve">Material Acquisition &amp; Pre-processing</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2.75</w:t>
            </w:r>
          </w:p>
        </w:tc>
        <w:tc>
          <w:tcPr/>
          <w:p>
            <w:pPr>
              <w:pStyle w:val="Compact"/>
              <w:jc w:val="left"/>
            </w:pPr>
            <w:r>
              <w:t xml:space="preserve">2.75</w:t>
            </w:r>
          </w:p>
        </w:tc>
      </w:tr>
      <w:tr>
        <w:tc>
          <w:tcPr/>
          <w:p>
            <w:pPr>
              <w:pStyle w:val="Compact"/>
              <w:jc w:val="left"/>
            </w:pPr>
            <w:r>
              <w:t xml:space="preserve">Manufacturing (Electricity)</w:t>
            </w:r>
          </w:p>
        </w:tc>
        <w:tc>
          <w:tcPr/>
          <w:p>
            <w:pPr>
              <w:pStyle w:val="Compact"/>
              <w:jc w:val="left"/>
            </w:pPr>
            <w:r>
              <w:t xml:space="preserve">0.00</w:t>
            </w:r>
          </w:p>
        </w:tc>
        <w:tc>
          <w:tcPr/>
          <w:p>
            <w:pPr>
              <w:pStyle w:val="Compact"/>
              <w:jc w:val="left"/>
            </w:pPr>
            <w:r>
              <w:t xml:space="preserve">1.3848</w:t>
            </w:r>
          </w:p>
        </w:tc>
        <w:tc>
          <w:tcPr/>
          <w:p>
            <w:pPr>
              <w:pStyle w:val="Compact"/>
              <w:jc w:val="left"/>
            </w:pPr>
            <w:r>
              <w:t xml:space="preserve">0.00</w:t>
            </w:r>
          </w:p>
        </w:tc>
        <w:tc>
          <w:tcPr/>
          <w:p>
            <w:pPr>
              <w:pStyle w:val="Compact"/>
              <w:jc w:val="left"/>
            </w:pPr>
            <w:r>
              <w:t xml:space="preserve">1.3848</w:t>
            </w:r>
          </w:p>
        </w:tc>
      </w:tr>
      <w:tr>
        <w:tc>
          <w:tcPr/>
          <w:p>
            <w:pPr>
              <w:pStyle w:val="Compact"/>
              <w:jc w:val="left"/>
            </w:pPr>
            <w:r>
              <w:t xml:space="preserve">Transportation (Upstream &amp; Downstream)</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0.1144</w:t>
            </w:r>
          </w:p>
        </w:tc>
        <w:tc>
          <w:tcPr/>
          <w:p>
            <w:pPr>
              <w:pStyle w:val="Compact"/>
              <w:jc w:val="left"/>
            </w:pPr>
            <w:r>
              <w:t xml:space="preserve">0.1144</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28.35</w:t>
            </w:r>
          </w:p>
        </w:tc>
        <w:tc>
          <w:tcPr/>
          <w:p>
            <w:pPr>
              <w:pStyle w:val="Compact"/>
              <w:jc w:val="left"/>
            </w:pPr>
            <w:r>
              <w:t xml:space="preserve">28.35</w:t>
            </w:r>
          </w:p>
        </w:tc>
      </w:tr>
      <w:tr>
        <w:tc>
          <w:tcPr/>
          <w:p>
            <w:pPr>
              <w:pStyle w:val="Compact"/>
              <w:jc w:val="left"/>
            </w:pPr>
            <w:r>
              <w:t xml:space="preserve">End-of-Life Treatment</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0.08</w:t>
            </w:r>
          </w:p>
        </w:tc>
        <w:tc>
          <w:tcPr/>
          <w:p>
            <w:pPr>
              <w:pStyle w:val="Compact"/>
              <w:jc w:val="left"/>
            </w:pPr>
            <w:r>
              <w:t xml:space="preserve">0.08</w:t>
            </w:r>
          </w:p>
        </w:tc>
      </w:tr>
      <w:tr>
        <w:tc>
          <w:tcPr/>
          <w:p>
            <w:pPr>
              <w:pStyle w:val="Compact"/>
              <w:jc w:val="left"/>
            </w:pPr>
            <w:r>
              <w:rPr>
                <w:bCs/>
                <w:b/>
              </w:rPr>
              <w:t xml:space="preserve">Grand Total PCF</w:t>
            </w:r>
          </w:p>
        </w:tc>
        <w:tc>
          <w:tcPr/>
          <w:p>
            <w:pPr>
              <w:pStyle w:val="Compact"/>
              <w:jc w:val="left"/>
            </w:pPr>
            <w:r>
              <w:rPr>
                <w:bCs/>
                <w:b/>
              </w:rPr>
              <w:t xml:space="preserve">0.00</w:t>
            </w:r>
          </w:p>
        </w:tc>
        <w:tc>
          <w:tcPr/>
          <w:p>
            <w:pPr>
              <w:pStyle w:val="Compact"/>
              <w:jc w:val="left"/>
            </w:pPr>
            <w:r>
              <w:rPr>
                <w:bCs/>
                <w:b/>
              </w:rPr>
              <w:t xml:space="preserve">1.3848</w:t>
            </w:r>
          </w:p>
        </w:tc>
        <w:tc>
          <w:tcPr/>
          <w:p>
            <w:pPr>
              <w:pStyle w:val="Compact"/>
              <w:jc w:val="left"/>
            </w:pPr>
            <w:r>
              <w:rPr>
                <w:bCs/>
                <w:b/>
              </w:rPr>
              <w:t xml:space="preserve">31.2944</w:t>
            </w:r>
          </w:p>
        </w:tc>
        <w:tc>
          <w:tcPr/>
          <w:p>
            <w:pPr>
              <w:pStyle w:val="Compact"/>
              <w:jc w:val="left"/>
            </w:pPr>
            <w:r>
              <w:rPr>
                <w:bCs/>
                <w:b/>
              </w:rPr>
              <w:t xml:space="preserve">32.6792</w:t>
            </w:r>
          </w:p>
        </w:tc>
      </w:tr>
    </w:tbl>
    <w:p>
      <w:r>
        <w:pict>
          <v:rect style="width:0;height:1.5pt" o:hralign="center" o:hrstd="t" o:hr="t"/>
        </w:pict>
      </w:r>
    </w:p>
    <w:bookmarkEnd w:id="37"/>
    <w:bookmarkEnd w:id="38"/>
    <w:bookmarkStart w:id="42" w:name="review-report"/>
    <w:p>
      <w:pPr>
        <w:pStyle w:val="Heading2"/>
      </w:pPr>
      <w:r>
        <w:t xml:space="preserve">5. Review &amp; Report</w:t>
      </w:r>
    </w:p>
    <w:bookmarkStart w:id="39" w:name="hotspot-identification"/>
    <w:p>
      <w:pPr>
        <w:pStyle w:val="Heading3"/>
      </w:pPr>
      <w:r>
        <w:t xml:space="preserve">5.1. Hotspot Identification</w:t>
      </w:r>
    </w:p>
    <w:p>
      <w:pPr>
        <w:pStyle w:val="FirstParagraph"/>
      </w:pPr>
      <w:r>
        <w:t xml:space="preserve">The primary carbon emission hotspots for jkyuykoeqy are:</w:t>
      </w:r>
    </w:p>
    <w:p>
      <w:pPr>
        <w:numPr>
          <w:ilvl w:val="0"/>
          <w:numId w:val="1013"/>
        </w:numPr>
        <w:pStyle w:val="Compact"/>
      </w:pPr>
      <w:r>
        <w:rPr>
          <w:bCs/>
          <w:b/>
        </w:rPr>
        <w:t xml:space="preserve">Use Phase (28.35 kg CO2e):</w:t>
      </w:r>
      <w:r>
        <w:t xml:space="preserve"> </w:t>
      </w:r>
      <w:r>
        <w:t xml:space="preserve">This stage accounts for the largest portion of the product\'s footprint (approx. 86.7%), predominantly due to the energy consumption over its 7-year lifespan. This highlights the importance of energy efficiency in product design and user behavior for significant impact reduction.</w:t>
      </w:r>
    </w:p>
    <w:p>
      <w:pPr>
        <w:numPr>
          <w:ilvl w:val="0"/>
          <w:numId w:val="1013"/>
        </w:numPr>
        <w:pStyle w:val="Compact"/>
      </w:pPr>
      <w:r>
        <w:rPr>
          <w:bCs/>
          <w:b/>
        </w:rPr>
        <w:t xml:space="preserve">Material Acquisition &amp; Pre-processing (2.75 kg CO2e):</w:t>
      </w:r>
      <w:r>
        <w:t xml:space="preserve"> </w:t>
      </w:r>
      <w:r>
        <w:t xml:space="preserve">Constituting approximately 8.4% of the total footprint, emissions from raw materials, particularly the Aluminum Casing and Lithium-ion Battery, are notable. This underscores the need for sustainable sourcing and material efficiency.</w:t>
      </w:r>
    </w:p>
    <w:p>
      <w:pPr>
        <w:numPr>
          <w:ilvl w:val="0"/>
          <w:numId w:val="1013"/>
        </w:numPr>
        <w:pStyle w:val="Compact"/>
      </w:pPr>
      <w:r>
        <w:rPr>
          <w:bCs/>
          <w:b/>
        </w:rPr>
        <w:t xml:space="preserve">Manufacturing (1.3848 kg CO2e):</w:t>
      </w:r>
      <w:r>
        <w:t xml:space="preserve"> </w:t>
      </w:r>
      <w:r>
        <w:t xml:space="preserve">While lower than the use phase, the energy used in the production process (approx. 4.2%) remains an area for improvement, especially through further increasing renewable energy adoption in the manufacturing facility.</w:t>
      </w:r>
    </w:p>
    <w:bookmarkEnd w:id="39"/>
    <w:bookmarkStart w:id="41" w:name="reliability-statement"/>
    <w:p>
      <w:pPr>
        <w:pStyle w:val="Heading3"/>
      </w:pPr>
      <w:r>
        <w:t xml:space="preserve">5.2. Reliability Statement</w:t>
      </w:r>
    </w:p>
    <w:p>
      <w:pPr>
        <w:pStyle w:val="FirstParagraph"/>
      </w:pPr>
      <w:r>
        <w:t xml:space="preserve">This Product Carbon Footprint analysis for jkyuykoeqy is based on the best available data, industry-standard emission factors (e.g., GLEC, BEIS/Defra for transport, and national averages for electricity), and robust calculation methodologies aligned with the GHG Protocol. Where specific primary data was not available (e.g., for generic placeholder parameters), reasonable and conservative assumptions have been made and explicitly stated within the report to enable a complete assessment. The 2026 GHG Protocol requirements for Scope 3 completeness (95% coverage) have been addressed by including all relevant upstream and downstream activities. The Land Sector and Removals (LSR) Standard is acknowledged as a critical future development, with its conceptual application considered for any potential land-use impacts. The reliability of the results is dependent on the accuracy and representativeness of the underlying data and emission factors. Continuous efforts to collect more specific, primary data from the supply chain will enhance the accuracy of future assessments.</w:t>
      </w:r>
    </w:p>
    <w:p>
      <w:r>
        <w:pict>
          <v:rect style="width:0;height:1.5pt" o:hralign="center" o:hrstd="t" o:hr="t"/>
        </w:pict>
      </w:r>
    </w:p>
    <w:p>
      <w:pPr>
        <w:pStyle w:val="FirstParagraph"/>
      </w:pPr>
      <w:r>
        <w:t xml:space="preserve">Confidential - Internal Use Only | Page</w:t>
      </w:r>
      <w:r>
        <w:t xml:space="preserve"> </w:t>
      </w:r>
      <w:bookmarkStart w:id="40" w:name="pageNumber"/>
      <w:bookmarkEnd w:id="40"/>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jkyuykoeqy</dc:title>
  <dc:creator/>
  <dc:description>High-detail Product Carbon Footprint (PCF) analysis for jkyuykoeqy, adhering to GHG Protocol and 2026 updates, performed by jesyvuxynp, Senior Sustainability Consultant.</dc:description>
  <dc:language>en</dc:language>
  <cp:keywords/>
  <dcterms:created xsi:type="dcterms:W3CDTF">2026-07-15T15:31:00Z</dcterms:created>
  <dcterms:modified xsi:type="dcterms:W3CDTF">2026-07-15T15:31:00Z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