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jiinwsgiji</w:t>
      </w:r>
      <w:r>
        <w:t xml:space="preserve"> </w:t>
      </w:r>
      <w:r>
        <w:t xml:space="preserve">-</w:t>
      </w:r>
      <w:r>
        <w:t xml:space="preserve"> </w:t>
      </w:r>
      <w:r>
        <w:t xml:space="preserve">fxjyekssuo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jiinwsgiji</w:t>
      </w:r>
    </w:p>
    <w:p>
      <w:pPr>
        <w:pStyle w:val="BodyText"/>
      </w:pPr>
      <w:r>
        <w:t xml:space="preserve">**Company:** fxjyekssuo</w:t>
      </w:r>
    </w:p>
    <w:p>
      <w:pPr>
        <w:pStyle w:val="BodyText"/>
      </w:pPr>
      <w:r>
        <w:t xml:space="preserve">**Accounting Standard:** GHG Protocol</w:t>
      </w:r>
    </w:p>
    <w:p>
      <w:pPr>
        <w:pStyle w:val="BodyText"/>
      </w:pPr>
      <w:r>
        <w:t xml:space="preserve">**Senior Sustainability Consultant:** dljppjevdp</w:t>
      </w:r>
    </w:p>
    <w:p>
      <w:pPr>
        <w:pStyle w:val="BodyText"/>
      </w:pPr>
      <w:r>
        <w:t xml:space="preserve">*Disclaimer: This report is generated based on available data, specified parameters, and industry standards for emission factors. While every effort has been made to ensure accuracy and adherence to GHG Protocol requirements, actual emissions may vary based on real-time operational data, specific supplier details, and methodological choices. The Bill of Materials (BOM) and other input parameters were provided as string placeholders; example data consistent with the specified format has been used for calculations where specific numerical values were not directly extractable from the provided strings.*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jiinwsgiji</w:t>
      </w:r>
    </w:p>
    <w:p>
      <w:pPr>
        <w:pStyle w:val="BodyText"/>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"jiinwsgiji" manufactured by "fxjyekssuo". Conducted by Senior Sustainability Consultant dljppjevdp, this analysis adheres strictly to the GHG Protocol accounting standard, incorporating the 2026 Land Sector and Removals (LSR) update and ensuring robust Scope 3 coverage. The primary goal is to quantify the greenhouse gas (GHG) emissions associated with jiinwsgiji across its lifecycle, from raw material extraction to end-of-life, identify key emission hotspots, and provide actionable insights for emission reduction. The total estimated cradle-to-grave PCF for one functional unit of jiinwsgiji is</w:t>
      </w:r>
      <w:r>
        <w:t xml:space="preserve"> </w:t>
      </w:r>
      <w:r>
        <w:rPr>
          <w:bCs/>
          <w:b/>
        </w:rPr>
        <w:t xml:space="preserve">[Calculated Total PCF] kg CO2e</w:t>
      </w:r>
      <w:r>
        <w:t xml:space="preserve">.</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for \'jiinwsgiji\' quantifies the greenhouse gas (GHG) emissions associated with its entire lifecycle. The assessment follows the principles and requirements of the GHG Protocol, ensuring a standardized and transparent approach to carbon accounting.</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jiinwsgiji</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\'Cradle-to-Grave\', encompassing all stages from raw material acquisition, manufacturing, transport, use phase, and end-of-life disposal/recycling. While the initial parameter specified \'factory_gate\' as a focus, the inclusion of \'Use Phase\' and \'End-of-Life\' parameters necessitates a full lifecycle assessment to provide a comprehensive understanding of the product\'s environmental impact.</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(materials predominantly sourced from Europe for production in China).</w:t>
      </w:r>
    </w:p>
    <w:bookmarkEnd w:id="25"/>
    <w:bookmarkStart w:id="26" w:name="accounting-standard"/>
    <w:p>
      <w:pPr>
        <w:pStyle w:val="Heading3"/>
      </w:pPr>
      <w:r>
        <w:t xml:space="preserve">1.4 Accounting Standard</w:t>
      </w:r>
    </w:p>
    <w:p>
      <w:pPr>
        <w:numPr>
          <w:ilvl w:val="0"/>
          <w:numId w:val="1004"/>
        </w:numPr>
        <w:pStyle w:val="Compact"/>
      </w:pPr>
      <w:r>
        <w:t xml:space="preserve">This PCF analysis is conducted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The analysis also incorporates principles from the 2026 Land Sector and Removals (LSR) Standard where applicable, particularly for land use impacts and carbon removals, though specific land use data for BOM items was not available for granular LSR application. Scope 3 reporting aims for at least 95% coverage, in line with 2026 requirements.</w:t>
      </w:r>
    </w:p>
    <w:bookmarkEnd w:id="26"/>
    <w:bookmarkStart w:id="27" w:name="allocation"/>
    <w:p>
      <w:pPr>
        <w:pStyle w:val="Heading3"/>
      </w:pPr>
      <w:r>
        <w:t xml:space="preserve">1.5 Allocation</w:t>
      </w:r>
    </w:p>
    <w:p>
      <w:pPr>
        <w:numPr>
          <w:ilvl w:val="0"/>
          <w:numId w:val="1005"/>
        </w:numPr>
        <w:pStyle w:val="Compact"/>
      </w:pPr>
      <w:r>
        <w:t xml:space="preserve">Due to the absence of explicit co-products for jiinwsgiji, all emissions are directly allocated to the product.</w:t>
      </w:r>
    </w:p>
    <w:p>
      <w:r>
        <w:pict>
          <v:rect style="width:0;height:1.5pt" o:hralign="center" o:hrstd="t" o:hr="t"/>
        </w:pict>
      </w:r>
    </w:p>
    <w:bookmarkEnd w:id="27"/>
    <w:bookmarkEnd w:id="28"/>
    <w:bookmarkStart w:id="34" w:name="X499aa382d37d6bb6c3ce242350df022e68917f3"/>
    <w:p>
      <w:pPr>
        <w:pStyle w:val="Heading2"/>
      </w:pPr>
      <w:r>
        <w:t xml:space="preserve">2. Lifecycle Inventory Stages &amp; Data Collection</w:t>
      </w:r>
    </w:p>
    <w:p>
      <w:pPr>
        <w:pStyle w:val="FirstParagraph"/>
      </w:pPr>
      <w:r>
        <w:t xml:space="preserve">This section details the lifecycle stages and the data inputs collected and used for the PCF calculation. Given the placeholder nature of some input strings, example numerical values consistent with the specified format have been generated and explicitly stated below for calculation purposes.</w:t>
      </w:r>
    </w:p>
    <w:bookmarkStart w:id="29" w:name="Xd17dd4a219c1301cc5753cca124e4ba16821b8d"/>
    <w:p>
      <w:pPr>
        <w:pStyle w:val="Heading3"/>
      </w:pPr>
      <w:r>
        <w:t xml:space="preserve">2.1 Detailed Bill of Materials (BOM) &amp; Material Inputs (Scope 3 - Upstream)</w:t>
      </w:r>
    </w:p>
    <w:p>
      <w:pPr>
        <w:pStyle w:val="FirstParagraph"/>
      </w:pPr>
      <w:r>
        <w:t xml:space="preserve">The Detailed Bill of Materials (BOM) \'xqvywheg\' was provided as a structured placeholder. For this analysis, a sample BOM table has been constructed adhering to the specified format (ID, Description, Category, Process, Qty, Unit, Emission Factor (EF), Total Carbon). The \'Total Carbon\' values are assumed to be pre-calculated emissions for each component based on its quantity and emission factor.</w:t>
      </w:r>
    </w:p>
    <w:p>
      <w:pPr>
        <w:pStyle w:val="BodyText"/>
      </w:pPr>
      <w:r>
        <w:rPr>
          <w:bCs/>
          <w:b/>
        </w:rPr>
        <w:t xml:space="preserve">Sample BOM for jiinwsgiji: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16.0</w:t>
            </w:r>
          </w:p>
        </w:tc>
        <w:tc>
          <w:tcPr/>
          <w:p>
            <w:pPr>
              <w:pStyle w:val="Compact"/>
              <w:jc w:val="left"/>
            </w:pPr>
            <w:r>
              <w:t xml:space="preserve">4.00</w:t>
            </w:r>
          </w:p>
        </w:tc>
      </w:tr>
      <w:tr>
        <w:tc>
          <w:tcPr/>
          <w:p>
            <w:pPr>
              <w:pStyle w:val="Compact"/>
              <w:jc w:val="left"/>
            </w:pPr>
            <w:r>
              <w:t xml:space="preserve">BOM002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Conversion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0.7</w:t>
            </w:r>
          </w:p>
        </w:tc>
        <w:tc>
          <w:tcPr/>
          <w:p>
            <w:pPr>
              <w:pStyle w:val="Compact"/>
              <w:jc w:val="left"/>
            </w:pPr>
            <w:r>
              <w:t xml:space="preserve">0.06</w:t>
            </w:r>
          </w:p>
        </w:tc>
      </w:tr>
      <w:tr>
        <w:tc>
          <w:tcPr>
            <w:gridSpan w:val="7"/>
          </w:tcPr>
          <w:p>
            <w:pPr>
              <w:pStyle w:val="Compact"/>
              <w:jc w:val="right"/>
            </w:pPr>
            <w:r>
              <w:rPr>
                <w:bCs/>
                <w:b/>
              </w:rPr>
              <w:t xml:space="preserve">Total Material Emissions:</w:t>
            </w:r>
          </w:p>
        </w:tc>
        <w:tc>
          <w:tcPr/>
          <w:p>
            <w:pPr>
              <w:pStyle w:val="Compact"/>
              <w:jc w:val="left"/>
            </w:pPr>
            <w:r>
              <w:rPr>
                <w:bCs/>
                <w:b/>
              </w:rPr>
              <w:t xml:space="preserve">5.96</w:t>
            </w:r>
          </w:p>
        </w:tc>
      </w:tr>
    </w:tbl>
    <w:p>
      <w:pPr>
        <w:pStyle w:val="BodyText"/>
      </w:pPr>
      <w:r>
        <w:rPr>
          <w:iCs/>
          <w:i/>
        </w:rPr>
        <w:t xml:space="preserve">(Note: The \'Total Carbon\' for each item in the above table is calculated as Qty * Emission Factor, representing the upstream material emissions for that component.)</w:t>
      </w:r>
    </w:p>
    <w:bookmarkEnd w:id="29"/>
    <w:bookmarkStart w:id="30" w:name="Xeda0d469d6b5d0e39cf05a0b85d678c80838d03"/>
    <w:p>
      <w:pPr>
        <w:pStyle w:val="Heading3"/>
      </w:pPr>
      <w:r>
        <w:t xml:space="preserve">2.2 Manufacturing/Production Energy Inputs (Scope 1 &amp; 2)</w:t>
      </w:r>
    </w:p>
    <w:p>
      <w:pPr>
        <w:numPr>
          <w:ilvl w:val="0"/>
          <w:numId w:val="1006"/>
        </w:numPr>
        <w:pStyle w:val="Compact"/>
      </w:pPr>
      <w:r>
        <w:t xml:space="preserve">Energy Intensity (kWh/unit): `sokkxgynuz` =</w:t>
      </w:r>
      <w:r>
        <w:t xml:space="preserve"> </w:t>
      </w:r>
      <w:r>
        <w:rPr>
          <w:bCs/>
          <w:b/>
        </w:rPr>
        <w:t xml:space="preserve">5.0 kWh/unit</w:t>
      </w:r>
      <w:r>
        <w:t xml:space="preserve"> </w:t>
      </w:r>
      <w:r>
        <w:t xml:space="preserve">(Assumed numerical value).</w:t>
      </w:r>
    </w:p>
    <w:p>
      <w:pPr>
        <w:numPr>
          <w:ilvl w:val="0"/>
          <w:numId w:val="1006"/>
        </w:numPr>
        <w:pStyle w:val="Compact"/>
      </w:pPr>
      <w:r>
        <w:t xml:space="preserve">Renewable Energy Usage: `shjzeimyjk` =</w:t>
      </w:r>
      <w:r>
        <w:t xml:space="preserve"> </w:t>
      </w:r>
      <w:r>
        <w:rPr>
          <w:bCs/>
          <w:b/>
        </w:rPr>
        <w:t xml:space="preserve">40%</w:t>
      </w:r>
      <w:r>
        <w:t xml:space="preserve"> </w:t>
      </w:r>
      <w:r>
        <w:t xml:space="preserve">(Assumed numerical value).</w:t>
      </w:r>
    </w:p>
    <w:p>
      <w:pPr>
        <w:numPr>
          <w:ilvl w:val="1"/>
          <w:numId w:val="1007"/>
        </w:numPr>
        <w:pStyle w:val="Compact"/>
      </w:pPr>
      <w:r>
        <w:t xml:space="preserve">Non-renewable energy: 5.0 kWh/unit * (1 - 0.40) = 3.0 kWh/unit</w:t>
      </w:r>
    </w:p>
    <w:p>
      <w:pPr>
        <w:numPr>
          <w:ilvl w:val="1"/>
          <w:numId w:val="1007"/>
        </w:numPr>
        <w:pStyle w:val="Compact"/>
      </w:pPr>
      <w:r>
        <w:t xml:space="preserve">Renewable energy: 5.0 kWh/unit * 0.40 = 2.0 kWh/unit</w:t>
      </w:r>
    </w:p>
    <w:p>
      <w:pPr>
        <w:numPr>
          <w:ilvl w:val="0"/>
          <w:numId w:val="1006"/>
        </w:numPr>
        <w:pStyle w:val="Compact"/>
      </w:pPr>
      <w:r>
        <w:t xml:space="preserve">Geographic Scope: China (Production Country).</w:t>
      </w:r>
    </w:p>
    <w:p>
      <w:pPr>
        <w:numPr>
          <w:ilvl w:val="0"/>
          <w:numId w:val="1006"/>
        </w:numPr>
        <w:pStyle w:val="Compact"/>
      </w:pPr>
      <w:r>
        <w:t xml:space="preserve">Assumed China Grid Emission Factor (2026 estimate): 0.65 kg CO2e/kWh (Source: IEA, general estimates).</w:t>
      </w:r>
    </w:p>
    <w:p>
      <w:pPr>
        <w:numPr>
          <w:ilvl w:val="0"/>
          <w:numId w:val="1006"/>
        </w:numPr>
        <w:pStyle w:val="Compact"/>
      </w:pPr>
      <w:r>
        <w:t xml:space="preserve">On-site fuel combustion (Scope 1): Assumed negligible for direct manufacturing given the focus on electricity intensity; if present, would be accounted for here.</w:t>
      </w:r>
    </w:p>
    <w:bookmarkEnd w:id="30"/>
    <w:bookmarkStart w:id="31" w:name="X9795cd1974d18f66faafdaafe7a0219ede81315"/>
    <w:p>
      <w:pPr>
        <w:pStyle w:val="Heading3"/>
      </w:pPr>
      <w:r>
        <w:t xml:space="preserve">2.3 Transport Logistics (Scope 3 - Upstream &amp; Downstream)</w:t>
      </w:r>
    </w:p>
    <w:p>
      <w:pPr>
        <w:numPr>
          <w:ilvl w:val="0"/>
          <w:numId w:val="1008"/>
        </w:numPr>
        <w:pStyle w:val="Compact"/>
      </w:pPr>
      <w:r>
        <w:t xml:space="preserve">Primary Transport Distance: `gnspygdyxg` =</w:t>
      </w:r>
      <w:r>
        <w:t xml:space="preserve"> </w:t>
      </w:r>
      <w:r>
        <w:rPr>
          <w:bCs/>
          <w:b/>
        </w:rPr>
        <w:t xml:space="preserve">1500 km</w:t>
      </w:r>
      <w:r>
        <w:t xml:space="preserve"> </w:t>
      </w:r>
      <w:r>
        <w:t xml:space="preserve">(Assumed numerical value).</w:t>
      </w:r>
    </w:p>
    <w:p>
      <w:pPr>
        <w:numPr>
          <w:ilvl w:val="0"/>
          <w:numId w:val="1008"/>
        </w:numPr>
        <w:pStyle w:val="Compact"/>
      </w:pPr>
      <w:r>
        <w:t xml:space="preserve">Transport Mode (Primary): `Select Mode` =</w:t>
      </w:r>
      <w:r>
        <w:t xml:space="preserve"> </w:t>
      </w:r>
      <w:r>
        <w:rPr>
          <w:bCs/>
          <w:b/>
        </w:rPr>
        <w:t xml:space="preserve">Heavy-Duty Road Freight (&gt;32t)</w:t>
      </w:r>
      <w:r>
        <w:t xml:space="preserve"> </w:t>
      </w:r>
      <w:r>
        <w:t xml:space="preserve">(Assumed for efficiency in Europe-China supply chain for consolidated shipments).</w:t>
      </w:r>
    </w:p>
    <w:p>
      <w:pPr>
        <w:numPr>
          <w:ilvl w:val="0"/>
          <w:numId w:val="1008"/>
        </w:numPr>
        <w:pStyle w:val="Compact"/>
      </w:pPr>
      <w:r>
        <w:t xml:space="preserve">Last-Mile Delivery Channel: `Delivery Type` =</w:t>
      </w:r>
      <w:r>
        <w:t xml:space="preserve"> </w:t>
      </w:r>
      <w:r>
        <w:rPr>
          <w:bCs/>
          <w:b/>
        </w:rPr>
        <w:t xml:space="preserve">Parcel Delivery Van</w:t>
      </w:r>
      <w:r>
        <w:t xml:space="preserve"> </w:t>
      </w:r>
      <w:r>
        <w:t xml:space="preserve">(Assumed for final product distribution).</w:t>
      </w:r>
    </w:p>
    <w:p>
      <w:pPr>
        <w:numPr>
          <w:ilvl w:val="0"/>
          <w:numId w:val="1008"/>
        </w:numPr>
        <w:pStyle w:val="Compact"/>
      </w:pPr>
      <w:r>
        <w:t xml:space="preserve">Assumed Material Inbound Transport Distance (Europe to China): 3000 km (e.g., Sea Freight + Road).</w:t>
      </w:r>
    </w:p>
    <w:p>
      <w:pPr>
        <w:numPr>
          <w:ilvl w:val="0"/>
          <w:numId w:val="1008"/>
        </w:numPr>
        <w:pStyle w:val="Compact"/>
      </w:pPr>
      <w:r>
        <w:t xml:space="preserve">Product Outbound Transport Weight: Sum of BOM quantities = 0.25 + 0.15 + 0.05 + 0.02 + 0.08 =</w:t>
      </w:r>
      <w:r>
        <w:t xml:space="preserve"> </w:t>
      </w:r>
      <w:r>
        <w:rPr>
          <w:bCs/>
          <w:b/>
        </w:rPr>
        <w:t xml:space="preserve">0.55 kg</w:t>
      </w:r>
      <w:r>
        <w:t xml:space="preserve">.</w:t>
      </w:r>
    </w:p>
    <w:p>
      <w:pPr>
        <w:numPr>
          <w:ilvl w:val="0"/>
          <w:numId w:val="1008"/>
        </w:numPr>
        <w:pStyle w:val="Compact"/>
      </w:pPr>
      <w:r>
        <w:t xml:space="preserve">Assumed Transport Emission Factors (General Estimates, kg CO2e/tkm):</w:t>
      </w:r>
    </w:p>
    <w:p>
      <w:pPr>
        <w:numPr>
          <w:ilvl w:val="1"/>
          <w:numId w:val="1009"/>
        </w:numPr>
        <w:pStyle w:val="Compact"/>
      </w:pPr>
      <w:r>
        <w:t xml:space="preserve">Sea Freight (container ship): 0.01 kg CO2e/tkm</w:t>
      </w:r>
    </w:p>
    <w:p>
      <w:pPr>
        <w:numPr>
          <w:ilvl w:val="1"/>
          <w:numId w:val="1009"/>
        </w:numPr>
        <w:pStyle w:val="Compact"/>
      </w:pPr>
      <w:r>
        <w:t xml:space="preserve">Road Freight (&gt;32t): 0.08 kg CO2e/tkm</w:t>
      </w:r>
    </w:p>
    <w:p>
      <w:pPr>
        <w:numPr>
          <w:ilvl w:val="1"/>
          <w:numId w:val="1009"/>
        </w:numPr>
        <w:pStyle w:val="Compact"/>
      </w:pPr>
      <w:r>
        <w:t xml:space="preserve">Parcel Delivery Van (assuming 100kg average payload, 0.2 kg CO2e/km for vehicle): ~2.0 kg CO2e/tkm (or ~0.002 kg CO2e/kg-km)</w:t>
      </w:r>
    </w:p>
    <w:bookmarkEnd w:id="31"/>
    <w:bookmarkStart w:id="32" w:name="use-phase-data-scope-3---downstream"/>
    <w:p>
      <w:pPr>
        <w:pStyle w:val="Heading3"/>
      </w:pPr>
      <w:r>
        <w:t xml:space="preserve">2.4 Use Phase Data (Scope 3 - Downstream)</w:t>
      </w:r>
    </w:p>
    <w:p>
      <w:pPr>
        <w:numPr>
          <w:ilvl w:val="0"/>
          <w:numId w:val="1010"/>
        </w:numPr>
        <w:pStyle w:val="Compact"/>
      </w:pPr>
      <w:r>
        <w:t xml:space="preserve">Product Lifespan: `pexrmdeetw` =</w:t>
      </w:r>
      <w:r>
        <w:t xml:space="preserve"> </w:t>
      </w:r>
      <w:r>
        <w:rPr>
          <w:bCs/>
          <w:b/>
        </w:rPr>
        <w:t xml:space="preserve">5 years</w:t>
      </w:r>
      <w:r>
        <w:t xml:space="preserve"> </w:t>
      </w:r>
      <w:r>
        <w:t xml:space="preserve">(Assumed numerical value).</w:t>
      </w:r>
    </w:p>
    <w:p>
      <w:pPr>
        <w:numPr>
          <w:ilvl w:val="0"/>
          <w:numId w:val="1010"/>
        </w:numPr>
        <w:pStyle w:val="Compact"/>
      </w:pPr>
      <w:r>
        <w:t xml:space="preserve">Energy Consumption in Use: `qfdehznwwx` =</w:t>
      </w:r>
      <w:r>
        <w:t xml:space="preserve"> </w:t>
      </w:r>
      <w:r>
        <w:rPr>
          <w:bCs/>
          <w:b/>
        </w:rPr>
        <w:t xml:space="preserve">10 kWh/year</w:t>
      </w:r>
      <w:r>
        <w:t xml:space="preserve"> </w:t>
      </w:r>
      <w:r>
        <w:t xml:space="preserve">(Assumed numerical value).</w:t>
      </w:r>
    </w:p>
    <w:p>
      <w:pPr>
        <w:numPr>
          <w:ilvl w:val="0"/>
          <w:numId w:val="1010"/>
        </w:numPr>
        <w:pStyle w:val="Compact"/>
      </w:pPr>
      <w:r>
        <w:t xml:space="preserve">Assumed End-User Electricity Grid Mix (Europe Focused): 0.30 kg CO2e/kWh (Source: IEA, general European average).</w:t>
      </w:r>
    </w:p>
    <w:bookmarkEnd w:id="32"/>
    <w:bookmarkStart w:id="33" w:name="X2449e76f36fce2c9fec3c701a472f020b80894d"/>
    <w:p>
      <w:pPr>
        <w:pStyle w:val="Heading3"/>
      </w:pPr>
      <w:r>
        <w:t xml:space="preserve">2.5 End-of-Life (EoL) Scenarios (Scope 3 - Downstream)</w:t>
      </w:r>
    </w:p>
    <w:p>
      <w:pPr>
        <w:numPr>
          <w:ilvl w:val="0"/>
          <w:numId w:val="1011"/>
        </w:numPr>
        <w:pStyle w:val="Compact"/>
      </w:pPr>
      <w:r>
        <w:t xml:space="preserve">Recyclability Percentage: `eydoeifmol` =</w:t>
      </w:r>
      <w:r>
        <w:t xml:space="preserve"> </w:t>
      </w:r>
      <w:r>
        <w:rPr>
          <w:bCs/>
          <w:b/>
        </w:rPr>
        <w:t xml:space="preserve">70%</w:t>
      </w:r>
      <w:r>
        <w:t xml:space="preserve"> </w:t>
      </w:r>
      <w:r>
        <w:t xml:space="preserve">(Assumed numerical value).</w:t>
      </w:r>
    </w:p>
    <w:p>
      <w:pPr>
        <w:numPr>
          <w:ilvl w:val="0"/>
          <w:numId w:val="1011"/>
        </w:numPr>
        <w:pStyle w:val="Compact"/>
      </w:pPr>
      <w:r>
        <w:t xml:space="preserve">Circular/Take-back Programs: `kwpifdgnpq` =</w:t>
      </w:r>
      <w:r>
        <w:t xml:space="preserve"> </w:t>
      </w:r>
      <w:r>
        <w:rPr>
          <w:bCs/>
          <w:b/>
        </w:rPr>
        <w:t xml:space="preserve">The company operates a take-back program with certified recycling partners, aiming to maximize material recovery and reintroduction into the circular economy.</w:t>
      </w:r>
      <w:r>
        <w:t xml:space="preserve"> </w:t>
      </w:r>
      <w:r>
        <w:t xml:space="preserve">(Qualitative description based on placeholder).</w:t>
      </w:r>
    </w:p>
    <w:p>
      <w:pPr>
        <w:numPr>
          <w:ilvl w:val="0"/>
          <w:numId w:val="1011"/>
        </w:numPr>
        <w:pStyle w:val="Compact"/>
      </w:pPr>
      <w:r>
        <w:t xml:space="preserve">Assumed Avoided Emissions (Recycling Credit): Varies by material, e.g., 80% of primary production emissions for metals. For simplicity, a blended credit of 50% of the material\'s original upstream emission for the recycled portion will be used.</w:t>
      </w:r>
    </w:p>
    <w:p>
      <w:pPr>
        <w:numPr>
          <w:ilvl w:val="0"/>
          <w:numId w:val="1011"/>
        </w:numPr>
        <w:pStyle w:val="Compact"/>
      </w:pPr>
      <w:r>
        <w:t xml:space="preserve">Assumed Disposal Emissions (Landfill/Incineration): 1.0 kg CO2e/kg for non-recycled portion (general estimate).</w:t>
      </w:r>
    </w:p>
    <w:p>
      <w:r>
        <w:pict>
          <v:rect style="width:0;height:1.5pt" o:hralign="center" o:hrstd="t" o:hr="t"/>
        </w:pict>
      </w:r>
    </w:p>
    <w:bookmarkEnd w:id="33"/>
    <w:bookmarkEnd w:id="34"/>
    <w:bookmarkStart w:id="40" w:name="emission-calculations"/>
    <w:p>
      <w:pPr>
        <w:pStyle w:val="Heading2"/>
      </w:pPr>
      <w:r>
        <w:t xml:space="preserve">3. Emission Calculations</w:t>
      </w:r>
    </w:p>
    <w:p>
      <w:pPr>
        <w:pStyle w:val="FirstParagraph"/>
      </w:pPr>
      <w:r>
        <w:t xml:space="preserve">The emissions for each lifecycle stage are calculated using the "Activity * Emission Factor = CO2e" principle. Emissions are categorized according to the GHG Protocol.</w:t>
      </w:r>
    </w:p>
    <w:bookmarkStart w:id="35" w:name="Xa124a95b981c370289279a4b723120ad8e79cc2"/>
    <w:p>
      <w:pPr>
        <w:pStyle w:val="Heading3"/>
      </w:pPr>
      <w:r>
        <w:t xml:space="preserve">3.1 Materials Acquisition &amp; Pre-processing (Scope 3 - Upstream)</w:t>
      </w:r>
    </w:p>
    <w:p>
      <w:pPr>
        <w:pStyle w:val="FirstParagraph"/>
      </w:pPr>
      <w:r>
        <w:t xml:space="preserve">Based on the provided sample BOM, the total emissions from raw material extraction and pre-processing are directly taken from the \'Total Carbon\' column.</w:t>
      </w:r>
    </w:p>
    <w:p>
      <w:pPr>
        <w:numPr>
          <w:ilvl w:val="0"/>
          <w:numId w:val="1012"/>
        </w:numPr>
        <w:pStyle w:val="Compact"/>
      </w:pPr>
      <w:r>
        <w:t xml:space="preserve">Total Material Emissions (from sample BOM):</w:t>
      </w:r>
      <w:r>
        <w:t xml:space="preserve"> </w:t>
      </w:r>
      <w:r>
        <w:rPr>
          <w:bCs/>
          <w:b/>
        </w:rPr>
        <w:t xml:space="preserve">5.96 kg CO2e</w:t>
      </w:r>
    </w:p>
    <w:bookmarkEnd w:id="35"/>
    <w:bookmarkStart w:id="36" w:name="manufacturingproduction-scope-2"/>
    <w:p>
      <w:pPr>
        <w:pStyle w:val="Heading3"/>
      </w:pPr>
      <w:r>
        <w:t xml:space="preserve">3.2 Manufacturing/Production (Scope 2)</w:t>
      </w:r>
    </w:p>
    <w:p>
      <w:pPr>
        <w:numPr>
          <w:ilvl w:val="0"/>
          <w:numId w:val="1013"/>
        </w:numPr>
        <w:pStyle w:val="Compact"/>
      </w:pPr>
      <w:r>
        <w:t xml:space="preserve">Total electricity consumed: 5.0 kWh/unit</w:t>
      </w:r>
    </w:p>
    <w:p>
      <w:pPr>
        <w:numPr>
          <w:ilvl w:val="0"/>
          <w:numId w:val="1013"/>
        </w:numPr>
        <w:pStyle w:val="Compact"/>
      </w:pPr>
      <w:r>
        <w:t xml:space="preserve">Non-renewable electricity: 3.0 kWh/unit</w:t>
      </w:r>
    </w:p>
    <w:p>
      <w:pPr>
        <w:numPr>
          <w:ilvl w:val="0"/>
          <w:numId w:val="1013"/>
        </w:numPr>
        <w:pStyle w:val="Compact"/>
      </w:pPr>
      <w:r>
        <w:t xml:space="preserve">Emissions from non-renewable electricity: 3.0 kWh/unit * 0.65 kg CO2e/kWh =</w:t>
      </w:r>
      <w:r>
        <w:t xml:space="preserve"> </w:t>
      </w:r>
      <w:r>
        <w:rPr>
          <w:bCs/>
          <w:b/>
        </w:rPr>
        <w:t xml:space="preserve">1.95 kg CO2e</w:t>
      </w:r>
    </w:p>
    <w:p>
      <w:pPr>
        <w:numPr>
          <w:ilvl w:val="0"/>
          <w:numId w:val="1013"/>
        </w:numPr>
        <w:pStyle w:val="Compact"/>
      </w:pPr>
      <w:r>
        <w:t xml:space="preserve">Renewable electricity: 2.0 kWh/unit (assumed zero direct Scope 2 emissions for purchased certified renewables, though some Scope 3 effects from infrastructure might exist, not quantified here).</w:t>
      </w:r>
    </w:p>
    <w:p>
      <w:pPr>
        <w:numPr>
          <w:ilvl w:val="0"/>
          <w:numId w:val="1013"/>
        </w:numPr>
        <w:pStyle w:val="Compact"/>
      </w:pPr>
      <w:r>
        <w:rPr>
          <w:bCs/>
          <w:b/>
        </w:rPr>
        <w:t xml:space="preserve">Total Manufacturing Emissions (Scope 2): 1.95 kg CO2e</w:t>
      </w:r>
    </w:p>
    <w:bookmarkEnd w:id="36"/>
    <w:bookmarkStart w:id="37" w:name="transport-scope-3---upstream-downstream"/>
    <w:p>
      <w:pPr>
        <w:pStyle w:val="Heading3"/>
      </w:pPr>
      <w:r>
        <w:t xml:space="preserve">3.3 Transport (Scope 3 - Upstream &amp; Downstream)</w:t>
      </w:r>
    </w:p>
    <w:p>
      <w:pPr>
        <w:pStyle w:val="FirstParagraph"/>
      </w:pPr>
      <w:r>
        <w:t xml:space="preserve">The product weight is 0.55 kg (sum of BOM quantities).</w:t>
      </w:r>
    </w:p>
    <w:p>
      <w:pPr>
        <w:numPr>
          <w:ilvl w:val="0"/>
          <w:numId w:val="1014"/>
        </w:numPr>
        <w:pStyle w:val="Compact"/>
      </w:pPr>
      <w:r>
        <w:rPr>
          <w:bCs/>
          <w:b/>
        </w:rPr>
        <w:t xml:space="preserve">Upstream Transport (Materials, Europe to China):</w:t>
      </w:r>
    </w:p>
    <w:p>
      <w:pPr>
        <w:numPr>
          <w:ilvl w:val="1"/>
          <w:numId w:val="1015"/>
        </w:numPr>
        <w:pStyle w:val="Compact"/>
      </w:pPr>
      <w:r>
        <w:t xml:space="preserve">Distance: 3000 km (Assumed blend of Sea and Road)</w:t>
      </w:r>
    </w:p>
    <w:p>
      <w:pPr>
        <w:numPr>
          <w:ilvl w:val="1"/>
          <w:numId w:val="1015"/>
        </w:numPr>
        <w:pStyle w:val="Compact"/>
      </w:pPr>
      <w:r>
        <w:t xml:space="preserve">Assumed predominant mode for bulk: Sea Freight</w:t>
      </w:r>
    </w:p>
    <w:p>
      <w:pPr>
        <w:numPr>
          <w:ilvl w:val="1"/>
          <w:numId w:val="1015"/>
        </w:numPr>
        <w:pStyle w:val="Compact"/>
      </w:pPr>
      <w:r>
        <w:t xml:space="preserve">Emissions: 0.55 kg * 3000 km * 0.01 kg CO2e/tkm / 1000 (kg to tonne) =</w:t>
      </w:r>
      <w:r>
        <w:t xml:space="preserve"> </w:t>
      </w:r>
      <w:r>
        <w:rPr>
          <w:bCs/>
          <w:b/>
        </w:rPr>
        <w:t xml:space="preserve">0.0165 kg CO2e</w:t>
      </w:r>
    </w:p>
    <w:p>
      <w:pPr>
        <w:numPr>
          <w:ilvl w:val="0"/>
          <w:numId w:val="1014"/>
        </w:numPr>
        <w:pStyle w:val="Compact"/>
      </w:pPr>
      <w:r>
        <w:rPr>
          <w:bCs/>
          <w:b/>
        </w:rPr>
        <w:t xml:space="preserve">Primary Product Transport (Factory to Distribution, China to Europe):</w:t>
      </w:r>
    </w:p>
    <w:p>
      <w:pPr>
        <w:numPr>
          <w:ilvl w:val="1"/>
          <w:numId w:val="1016"/>
        </w:numPr>
        <w:pStyle w:val="Compact"/>
      </w:pPr>
      <w:r>
        <w:t xml:space="preserve">Distance: 1500 km (`gnspygdyxg`)</w:t>
      </w:r>
    </w:p>
    <w:p>
      <w:pPr>
        <w:numPr>
          <w:ilvl w:val="1"/>
          <w:numId w:val="1016"/>
        </w:numPr>
        <w:pStyle w:val="Compact"/>
      </w:pPr>
      <w:r>
        <w:t xml:space="preserve">Mode: Heavy-Duty Road Freight (&gt;32t)</w:t>
      </w:r>
    </w:p>
    <w:p>
      <w:pPr>
        <w:numPr>
          <w:ilvl w:val="1"/>
          <w:numId w:val="1016"/>
        </w:numPr>
        <w:pStyle w:val="Compact"/>
      </w:pPr>
      <w:r>
        <w:t xml:space="preserve">Emissions: 0.55 kg * 1500 km * 0.08 kg CO2e/tkm / 1000 =</w:t>
      </w:r>
      <w:r>
        <w:t xml:space="preserve"> </w:t>
      </w:r>
      <w:r>
        <w:rPr>
          <w:bCs/>
          <w:b/>
        </w:rPr>
        <w:t xml:space="preserve">0.066 kg CO2e</w:t>
      </w:r>
    </w:p>
    <w:p>
      <w:pPr>
        <w:numPr>
          <w:ilvl w:val="0"/>
          <w:numId w:val="1014"/>
        </w:numPr>
        <w:pStyle w:val="Compact"/>
      </w:pPr>
      <w:r>
        <w:rPr>
          <w:bCs/>
          <w:b/>
        </w:rPr>
        <w:t xml:space="preserve">Last-Mile Delivery (within Europe):</w:t>
      </w:r>
    </w:p>
    <w:p>
      <w:pPr>
        <w:numPr>
          <w:ilvl w:val="1"/>
          <w:numId w:val="1017"/>
        </w:numPr>
        <w:pStyle w:val="Compact"/>
      </w:pPr>
      <w:r>
        <w:t xml:space="preserve">Distance: 50 km (Assumed typical last-mile for `Delivery Type`)</w:t>
      </w:r>
    </w:p>
    <w:p>
      <w:pPr>
        <w:numPr>
          <w:ilvl w:val="1"/>
          <w:numId w:val="1017"/>
        </w:numPr>
        <w:pStyle w:val="Compact"/>
      </w:pPr>
      <w:r>
        <w:t xml:space="preserve">Mode: Parcel Delivery Van</w:t>
      </w:r>
    </w:p>
    <w:p>
      <w:pPr>
        <w:numPr>
          <w:ilvl w:val="1"/>
          <w:numId w:val="1017"/>
        </w:numPr>
        <w:pStyle w:val="Compact"/>
      </w:pPr>
      <w:r>
        <w:t xml:space="preserve">Emissions: 0.55 kg * 50 km * 2.0 kg CO2e/tkm / 1000 =</w:t>
      </w:r>
      <w:r>
        <w:t xml:space="preserve"> </w:t>
      </w:r>
      <w:r>
        <w:rPr>
          <w:bCs/>
          <w:b/>
        </w:rPr>
        <w:t xml:space="preserve">0.055 kg CO2e</w:t>
      </w:r>
    </w:p>
    <w:p>
      <w:pPr>
        <w:numPr>
          <w:ilvl w:val="0"/>
          <w:numId w:val="1014"/>
        </w:numPr>
        <w:pStyle w:val="Compact"/>
      </w:pPr>
      <w:r>
        <w:rPr>
          <w:bCs/>
          <w:b/>
        </w:rPr>
        <w:t xml:space="preserve">Total Transport Emissions (Scope 3): 0.0165 + 0.066 + 0.055 = 0.1375 kg CO2e</w:t>
      </w:r>
    </w:p>
    <w:bookmarkEnd w:id="37"/>
    <w:bookmarkStart w:id="38" w:name="use-phase-scope-3---downstream"/>
    <w:p>
      <w:pPr>
        <w:pStyle w:val="Heading3"/>
      </w:pPr>
      <w:r>
        <w:t xml:space="preserve">3.4 Use Phase (Scope 3 - Downstream)</w:t>
      </w:r>
    </w:p>
    <w:p>
      <w:pPr>
        <w:numPr>
          <w:ilvl w:val="0"/>
          <w:numId w:val="1018"/>
        </w:numPr>
        <w:pStyle w:val="Compact"/>
      </w:pPr>
      <w:r>
        <w:t xml:space="preserve">Total energy consumed over lifespan: 5 years * 10 kWh/year = 50 kWh</w:t>
      </w:r>
    </w:p>
    <w:p>
      <w:pPr>
        <w:numPr>
          <w:ilvl w:val="0"/>
          <w:numId w:val="1018"/>
        </w:numPr>
        <w:pStyle w:val="Compact"/>
      </w:pPr>
      <w:r>
        <w:t xml:space="preserve">Emissions: 50 kWh * 0.30 kg CO2e/kWh (End-user grid) =</w:t>
      </w:r>
      <w:r>
        <w:t xml:space="preserve"> </w:t>
      </w:r>
      <w:r>
        <w:rPr>
          <w:bCs/>
          <w:b/>
        </w:rPr>
        <w:t xml:space="preserve">15.00 kg CO2e</w:t>
      </w:r>
    </w:p>
    <w:bookmarkEnd w:id="38"/>
    <w:bookmarkStart w:id="39" w:name="end-of-life-eol-scope-3---downstream"/>
    <w:p>
      <w:pPr>
        <w:pStyle w:val="Heading3"/>
      </w:pPr>
      <w:r>
        <w:t xml:space="preserve">3.5 End-of-Life (EoL) (Scope 3 - Downstream)</w:t>
      </w:r>
    </w:p>
    <w:p>
      <w:pPr>
        <w:numPr>
          <w:ilvl w:val="0"/>
          <w:numId w:val="1019"/>
        </w:numPr>
        <w:pStyle w:val="Compact"/>
      </w:pPr>
      <w:r>
        <w:t xml:space="preserve">Product Weight: 0.55 kg</w:t>
      </w:r>
    </w:p>
    <w:p>
      <w:pPr>
        <w:numPr>
          <w:ilvl w:val="0"/>
          <w:numId w:val="1019"/>
        </w:numPr>
        <w:pStyle w:val="Compact"/>
      </w:pPr>
      <w:r>
        <w:t xml:space="preserve">Recycled portion: 0.55 kg * 70% = 0.385 kg</w:t>
      </w:r>
    </w:p>
    <w:p>
      <w:pPr>
        <w:numPr>
          <w:ilvl w:val="0"/>
          <w:numId w:val="1019"/>
        </w:numPr>
        <w:pStyle w:val="Compact"/>
      </w:pPr>
      <w:r>
        <w:t xml:space="preserve">Disposed portion: 0.55 kg * 30% = 0.165 kg</w:t>
      </w:r>
    </w:p>
    <w:p>
      <w:pPr>
        <w:numPr>
          <w:ilvl w:val="0"/>
          <w:numId w:val="1019"/>
        </w:numPr>
        <w:pStyle w:val="Compact"/>
      </w:pPr>
      <w:r>
        <w:rPr>
          <w:bCs/>
          <w:b/>
        </w:rPr>
        <w:t xml:space="preserve">Recycling Credit (Avoided Emissions):</w:t>
      </w:r>
    </w:p>
    <w:p>
      <w:pPr>
        <w:numPr>
          <w:ilvl w:val="1"/>
          <w:numId w:val="1020"/>
        </w:numPr>
        <w:pStyle w:val="Compact"/>
      </w:pPr>
      <w:r>
        <w:t xml:space="preserve">Assumed materials original upstream emissions from BOM for 0.55 kg = 5.96 kg CO2e</w:t>
      </w:r>
    </w:p>
    <w:p>
      <w:pPr>
        <w:numPr>
          <w:ilvl w:val="1"/>
          <w:numId w:val="1020"/>
        </w:numPr>
        <w:pStyle w:val="Compact"/>
      </w:pPr>
      <w:r>
        <w:t xml:space="preserve">Credit calculation: 5.96 kg CO2e * 70% (recycled) * 50% (avoidance factor) =</w:t>
      </w:r>
      <w:r>
        <w:t xml:space="preserve"> </w:t>
      </w:r>
      <w:r>
        <w:rPr>
          <w:bCs/>
          <w:b/>
        </w:rPr>
        <w:t xml:space="preserve">-2.086 kg CO2e</w:t>
      </w:r>
      <w:r>
        <w:t xml:space="preserve"> </w:t>
      </w:r>
      <w:r>
        <w:t xml:space="preserve">(negative value indicates removal/avoidance)</w:t>
      </w:r>
    </w:p>
    <w:p>
      <w:pPr>
        <w:numPr>
          <w:ilvl w:val="0"/>
          <w:numId w:val="1019"/>
        </w:numPr>
        <w:pStyle w:val="Compact"/>
      </w:pPr>
      <w:r>
        <w:rPr>
          <w:bCs/>
          <w:b/>
        </w:rPr>
        <w:t xml:space="preserve">Disposal Emissions (Landfill/Incineration):</w:t>
      </w:r>
    </w:p>
    <w:p>
      <w:pPr>
        <w:numPr>
          <w:ilvl w:val="1"/>
          <w:numId w:val="1021"/>
        </w:numPr>
        <w:pStyle w:val="Compact"/>
      </w:pPr>
      <w:r>
        <w:t xml:space="preserve">Emissions: 0.165 kg * 1.0 kg CO2e/kg =</w:t>
      </w:r>
      <w:r>
        <w:t xml:space="preserve"> </w:t>
      </w:r>
      <w:r>
        <w:rPr>
          <w:bCs/>
          <w:b/>
        </w:rPr>
        <w:t xml:space="preserve">0.165 kg CO2e</w:t>
      </w:r>
    </w:p>
    <w:p>
      <w:pPr>
        <w:numPr>
          <w:ilvl w:val="0"/>
          <w:numId w:val="1019"/>
        </w:numPr>
        <w:pStyle w:val="Compact"/>
      </w:pPr>
      <w:r>
        <w:rPr>
          <w:bCs/>
          <w:b/>
        </w:rPr>
        <w:t xml:space="preserve">Total End-of-Life Emissions (Scope 3): -2.086 + 0.165 = -1.921 kg CO2e</w:t>
      </w:r>
    </w:p>
    <w:p>
      <w:r>
        <w:pict>
          <v:rect style="width:0;height:1.5pt" o:hralign="center" o:hrstd="t" o:hr="t"/>
        </w:pict>
      </w:r>
    </w:p>
    <w:bookmarkEnd w:id="39"/>
    <w:bookmarkEnd w:id="40"/>
    <w:bookmarkStart w:id="42" w:name="summary-of-product-carbon-footprint-pcf"/>
    <w:p>
      <w:pPr>
        <w:pStyle w:val="Heading2"/>
      </w:pPr>
      <w:r>
        <w:t xml:space="preserve">4. Summary of Product Carbon Footprint (PCF)</w:t>
      </w:r>
    </w:p>
    <w:p>
      <w:pPr>
        <w:pStyle w:val="FirstParagraph"/>
      </w:pPr>
      <w:r>
        <w:t xml:space="preserve">The table below summarizes the GHG emissions across all lifecycle stages for one functional unit of \'jiinwsgiji\',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5.96</w:t>
            </w:r>
          </w:p>
        </w:tc>
        <w:tc>
          <w:tcPr/>
          <w:p>
            <w:pPr>
              <w:pStyle w:val="Compact"/>
              <w:jc w:val="left"/>
            </w:pPr>
            <w:r>
              <w:t xml:space="preserve">25.4%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1.95</w:t>
            </w:r>
          </w:p>
        </w:tc>
        <w:tc>
          <w:tcPr/>
          <w:p>
            <w:pPr>
              <w:pStyle w:val="Compact"/>
              <w:jc w:val="left"/>
            </w:pPr>
            <w:r>
              <w:t xml:space="preserve">8.3%</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0.14</w:t>
            </w:r>
          </w:p>
        </w:tc>
        <w:tc>
          <w:tcPr/>
          <w:p>
            <w:pPr>
              <w:pStyle w:val="Compact"/>
              <w:jc w:val="left"/>
            </w:pPr>
            <w:r>
              <w:t xml:space="preserve">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63.9%</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-1.92</w:t>
            </w:r>
          </w:p>
        </w:tc>
        <w:tc>
          <w:tcPr/>
          <w:p>
            <w:pPr>
              <w:pStyle w:val="Compact"/>
              <w:jc w:val="left"/>
            </w:pPr>
            <w:r>
              <w:t xml:space="preserve">-8.2%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21.13 kg CO2e</w:t>
            </w:r>
          </w:p>
        </w:tc>
        <w:tc>
          <w:tcPr/>
          <w:p>
            <w:pPr>
              <w:pStyle w:val="Compact"/>
              <w:jc w:val="left"/>
            </w:pPr>
            <w:r>
              <w:rPr>
                <w:bCs/>
                <w:b/>
              </w:rPr>
              <w:t xml:space="preserve">100%</w:t>
            </w:r>
          </w:p>
        </w:tc>
      </w:tr>
    </w:tbl>
    <w:p>
      <w:pPr>
        <w:pStyle w:val="BodyText"/>
      </w:pPr>
      <w:r>
        <w:rPr>
          <w:bCs/>
          <w:b/>
        </w:rPr>
        <w:t xml:space="preserve">Calculated Total PCF for jiinwsgiji: 21.13 kg CO2e per functional unit.</w:t>
      </w:r>
    </w:p>
    <w:bookmarkStart w:id="41" w:name="ghg-protocol-scope-summary"/>
    <w:p>
      <w:pPr>
        <w:pStyle w:val="Heading3"/>
      </w:pPr>
      <w:r>
        <w:t xml:space="preserve">4.1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 per unit)</w:t>
            </w:r>
          </w:p>
        </w:tc>
        <w:tc>
          <w:tcPr/>
          <w:p>
            <w:pPr>
              <w:pStyle w:val="Compact"/>
              <w:jc w:val="left"/>
            </w:pPr>
            <w:r>
              <w:t xml:space="preserve">Percentage of Total</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r>
              <w:t xml:space="preserve"> </w:t>
            </w:r>
            <w:r>
              <w:t xml:space="preserve">(Purchased Electricity)</w:t>
            </w:r>
          </w:p>
        </w:tc>
        <w:tc>
          <w:tcPr/>
          <w:p>
            <w:pPr>
              <w:pStyle w:val="Compact"/>
              <w:jc w:val="left"/>
            </w:pPr>
            <w:r>
              <w:t xml:space="preserve">1.95</w:t>
            </w:r>
          </w:p>
        </w:tc>
        <w:tc>
          <w:tcPr/>
          <w:p>
            <w:pPr>
              <w:pStyle w:val="Compact"/>
              <w:jc w:val="left"/>
            </w:pPr>
            <w:r>
              <w:t xml:space="preserve">9.2%</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19.18</w:t>
            </w:r>
          </w:p>
        </w:tc>
        <w:tc>
          <w:tcPr/>
          <w:p>
            <w:pPr>
              <w:pStyle w:val="Compact"/>
              <w:jc w:val="left"/>
            </w:pPr>
            <w:r>
              <w:t xml:space="preserve">90.8%</w:t>
            </w:r>
          </w:p>
        </w:tc>
      </w:tr>
      <w:tr>
        <w:tc>
          <w:tcPr/>
          <w:p>
            <w:pPr>
              <w:pStyle w:val="Compact"/>
              <w:jc w:val="left"/>
            </w:pPr>
            <w:r>
              <w:rPr>
                <w:bCs/>
                <w:b/>
              </w:rPr>
              <w:t xml:space="preserve">Total PCF</w:t>
            </w:r>
          </w:p>
        </w:tc>
        <w:tc>
          <w:tcPr/>
          <w:p>
            <w:pPr>
              <w:pStyle w:val="Compact"/>
              <w:jc w:val="left"/>
            </w:pPr>
            <w:r>
              <w:rPr>
                <w:bCs/>
                <w:b/>
              </w:rPr>
              <w:t xml:space="preserve">21.13 kg CO2e</w:t>
            </w:r>
          </w:p>
        </w:tc>
        <w:tc>
          <w:tcPr/>
          <w:p>
            <w:pPr>
              <w:pStyle w:val="Compact"/>
              <w:jc w:val="left"/>
            </w:pPr>
            <w:r>
              <w:rPr>
                <w:bCs/>
                <w:b/>
              </w:rPr>
              <w:t xml:space="preserve">100%</w:t>
            </w:r>
          </w:p>
        </w:tc>
      </w:tr>
    </w:tbl>
    <w:p>
      <w:pPr>
        <w:pStyle w:val="BodyText"/>
      </w:pPr>
      <w:r>
        <w:rPr>
          <w:iCs/>
          <w:i/>
        </w:rPr>
        <w:t xml:space="preserve">Note on Scope 1:</w:t>
      </w:r>
      <w:r>
        <w:t xml:space="preserve"> </w:t>
      </w:r>
      <w:r>
        <w:t xml:space="preserve">Direct emissions from company-owned or controlled sources (e.g., on-site fuel combustion). For this analysis, no significant Scope 1 emissions were quantified in manufacturing based on the provided parameters.</w:t>
      </w:r>
    </w:p>
    <w:p>
      <w:pPr>
        <w:pStyle w:val="BodyText"/>
      </w:pPr>
      <w:r>
        <w:rPr>
          <w:iCs/>
          <w:i/>
        </w:rPr>
        <w:t xml:space="preserve">Scope 3 Compliance:</w:t>
      </w:r>
      <w:r>
        <w:t xml:space="preserve"> </w:t>
      </w:r>
      <w:r>
        <w:t xml:space="preserve">The combined Scope 3 emissions (19.18 kg CO2e) represent approximately 90.8% of the total PCF. While a high percentage, this falls slightly below the 95% target for 2026 requirements, indicating areas for potential further data collection to capture all minor upstream and downstream activities (e.g., business travel, employee commuting related to the product, capital goods impacts). However, the major hotspots are well-covered.</w:t>
      </w:r>
    </w:p>
    <w:p>
      <w:pPr>
        <w:pStyle w:val="BodyText"/>
      </w:pPr>
      <w:r>
        <w:rPr>
          <w:iCs/>
          <w:i/>
        </w:rPr>
        <w:t xml:space="preserve">2026 LSR Update:</w:t>
      </w:r>
      <w:r>
        <w:t xml:space="preserve"> </w:t>
      </w:r>
      <w:r>
        <w:t xml:space="preserve">The analysis implicitly considers land use where included in material emission factors. Without specific land-use change data for raw material sourcing, direct application of the LSR standard for removals is limited but recognized in the overall methodology.</w:t>
      </w:r>
    </w:p>
    <w:p>
      <w:r>
        <w:pict>
          <v:rect style="width:0;height:1.5pt" o:hralign="center" o:hrstd="t" o:hr="t"/>
        </w:pict>
      </w:r>
    </w:p>
    <w:bookmarkEnd w:id="41"/>
    <w:bookmarkEnd w:id="42"/>
    <w:bookmarkStart w:id="45" w:name="hotspots-and-reliability"/>
    <w:p>
      <w:pPr>
        <w:pStyle w:val="Heading2"/>
      </w:pPr>
      <w:r>
        <w:t xml:space="preserve">5. Hotspots and Reliability</w:t>
      </w:r>
    </w:p>
    <w:bookmarkStart w:id="43" w:name="emission-hotspots"/>
    <w:p>
      <w:pPr>
        <w:pStyle w:val="Heading3"/>
      </w:pPr>
      <w:r>
        <w:t xml:space="preserve">5.1 Emission Hotspots</w:t>
      </w:r>
    </w:p>
    <w:p>
      <w:pPr>
        <w:pStyle w:val="FirstParagraph"/>
      </w:pPr>
      <w:r>
        <w:t xml:space="preserve">The primary emission hotspots for \'jiinwsgiji\' are identified as:</w:t>
      </w:r>
    </w:p>
    <w:p>
      <w:pPr>
        <w:numPr>
          <w:ilvl w:val="0"/>
          <w:numId w:val="1022"/>
        </w:numPr>
        <w:pStyle w:val="Compact"/>
      </w:pPr>
      <w:r>
        <w:rPr>
          <w:bCs/>
          <w:b/>
        </w:rPr>
        <w:t xml:space="preserve">Use Phase (63.9%):</w:t>
      </w:r>
      <w:r>
        <w:t xml:space="preserve"> </w:t>
      </w:r>
      <w:r>
        <w:t xml:space="preserve">The most significant contributor to the product\'s carbon footprint is the energy consumed during the product\'s 5-year lifespan. This highlights the importance of energy efficiency in product design and the impact of the end-user\'s electricity grid mix.</w:t>
      </w:r>
    </w:p>
    <w:p>
      <w:pPr>
        <w:numPr>
          <w:ilvl w:val="0"/>
          <w:numId w:val="1022"/>
        </w:numPr>
        <w:pStyle w:val="Compact"/>
      </w:pPr>
      <w:r>
        <w:rPr>
          <w:bCs/>
          <w:b/>
        </w:rPr>
        <w:t xml:space="preserve">Materials Acquisition &amp; Pre-processing (25.4%):</w:t>
      </w:r>
      <w:r>
        <w:t xml:space="preserve"> </w:t>
      </w:r>
      <w:r>
        <w:t xml:space="preserve">The upstream impacts of raw materials, particularly the Aluminum Casing, contribute significantly. Efforts to procure lower-carbon materials or increase recycled content in these components would be highly impactful.</w:t>
      </w:r>
    </w:p>
    <w:p>
      <w:pPr>
        <w:numPr>
          <w:ilvl w:val="0"/>
          <w:numId w:val="1022"/>
        </w:numPr>
        <w:pStyle w:val="Compact"/>
      </w:pPr>
      <w:r>
        <w:rPr>
          <w:bCs/>
          <w:b/>
        </w:rPr>
        <w:t xml:space="preserve">Manufacturing (Energy) (8.3%):</w:t>
      </w:r>
      <w:r>
        <w:t xml:space="preserve"> </w:t>
      </w:r>
      <w:r>
        <w:t xml:space="preserve">While not the largest, manufacturing energy still represents a notable portion. Increasing renewable energy usage beyond the current 40% at the production facility in China would reduce this contribution.</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contingent on the accuracy of the input parameters and assumed emission factors.</w:t>
      </w:r>
    </w:p>
    <w:p>
      <w:pPr>
        <w:numPr>
          <w:ilvl w:val="0"/>
          <w:numId w:val="1023"/>
        </w:numPr>
        <w:pStyle w:val="Compact"/>
      </w:pPr>
      <w:r>
        <w:rPr>
          <w:bCs/>
          <w:b/>
        </w:rPr>
        <w:t xml:space="preserve">BOM Data:</w:t>
      </w:r>
      <w:r>
        <w:t xml:space="preserve"> </w:t>
      </w:r>
      <w:r>
        <w:t xml:space="preserve">The provided BOM \'xqvywheg\' was a placeholder, and a sample BOM was generated for calculation. Actual, specific supplier-provided emission factors for each material would enhance accuracy.</w:t>
      </w:r>
    </w:p>
    <w:p>
      <w:pPr>
        <w:numPr>
          <w:ilvl w:val="0"/>
          <w:numId w:val="1023"/>
        </w:numPr>
        <w:pStyle w:val="Compact"/>
      </w:pPr>
      <w:r>
        <w:rPr>
          <w:bCs/>
          <w:b/>
        </w:rPr>
        <w:t xml:space="preserve">Transport:</w:t>
      </w:r>
      <w:r>
        <w:t xml:space="preserve"> </w:t>
      </w:r>
      <w:r>
        <w:t xml:space="preserve">Generic emission factors for \'Heavy-Duty Road Freight\' and \'Parcel Delivery Van\' were used. Specific vehicle types, fuel consumption data, and actual fill rates would provide more precise transport emissions.</w:t>
      </w:r>
    </w:p>
    <w:p>
      <w:pPr>
        <w:numPr>
          <w:ilvl w:val="0"/>
          <w:numId w:val="1023"/>
        </w:numPr>
        <w:pStyle w:val="Compact"/>
      </w:pPr>
      <w:r>
        <w:rPr>
          <w:bCs/>
          <w:b/>
        </w:rPr>
        <w:t xml:space="preserve">Geographic Specificity:</w:t>
      </w:r>
      <w:r>
        <w:t xml:space="preserve"> </w:t>
      </w:r>
      <w:r>
        <w:t xml:space="preserve">General grid mixes for China and Europe were used. Country-specific or even regional grid mixes, particularly for the use phase, would improve accuracy.</w:t>
      </w:r>
    </w:p>
    <w:p>
      <w:pPr>
        <w:numPr>
          <w:ilvl w:val="0"/>
          <w:numId w:val="1023"/>
        </w:numPr>
        <w:pStyle w:val="Compact"/>
      </w:pPr>
      <w:r>
        <w:rPr>
          <w:bCs/>
          <w:b/>
        </w:rPr>
        <w:t xml:space="preserve">EoL Scenarios:</w:t>
      </w:r>
      <w:r>
        <w:t xml:space="preserve"> </w:t>
      </w:r>
      <w:r>
        <w:t xml:space="preserve">The recycling credit and disposal debits are based on industry averages. Actual reprocessing efficiencies and landfill/incineration specifics for the product\'s components would refine these calculations.</w:t>
      </w:r>
    </w:p>
    <w:p>
      <w:pPr>
        <w:numPr>
          <w:ilvl w:val="0"/>
          <w:numId w:val="1023"/>
        </w:numPr>
        <w:pStyle w:val="Compact"/>
      </w:pPr>
      <w:r>
        <w:rPr>
          <w:bCs/>
          <w:b/>
        </w:rPr>
        <w:t xml:space="preserve">Scope 3 Coverage:</w:t>
      </w:r>
      <w:r>
        <w:t xml:space="preserve"> </w:t>
      </w:r>
      <w:r>
        <w:t xml:space="preserve">While targeting 95% coverage, the current analysis implicitly covers major categories. More granular data for minor value chain activities could further refine the Scope 3 total.</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identified hotspots, the following recommendations are provided to \'fxjyekssuo\' for reducing the carbon footprint of \'jiinwsgiji\':</w:t>
      </w:r>
    </w:p>
    <w:p>
      <w:pPr>
        <w:numPr>
          <w:ilvl w:val="0"/>
          <w:numId w:val="1024"/>
        </w:numPr>
        <w:pStyle w:val="Compact"/>
      </w:pPr>
      <w:r>
        <w:rPr>
          <w:bCs/>
          <w:b/>
        </w:rPr>
        <w:t xml:space="preserve">Enhance Use Phase Efficiency:</w:t>
      </w:r>
    </w:p>
    <w:p>
      <w:pPr>
        <w:numPr>
          <w:ilvl w:val="1"/>
          <w:numId w:val="1025"/>
        </w:numPr>
        <w:pStyle w:val="Compact"/>
      </w:pPr>
      <w:r>
        <w:t xml:space="preserve">Invest in R&amp;D to significantly reduce the product\'s energy consumption during its use.</w:t>
      </w:r>
    </w:p>
    <w:p>
      <w:pPr>
        <w:numPr>
          <w:ilvl w:val="1"/>
          <w:numId w:val="1025"/>
        </w:numPr>
        <w:pStyle w:val="Compact"/>
      </w:pPr>
      <w:r>
        <w:t xml:space="preserve">Explore software updates or smart features that optimize energy usage.</w:t>
      </w:r>
    </w:p>
    <w:p>
      <w:pPr>
        <w:numPr>
          <w:ilvl w:val="1"/>
          <w:numId w:val="1025"/>
        </w:numPr>
        <w:pStyle w:val="Compact"/>
      </w:pPr>
      <w:r>
        <w:t xml:space="preserve">Educate end-users on energy-saving practices during product operation.</w:t>
      </w:r>
    </w:p>
    <w:p>
      <w:pPr>
        <w:numPr>
          <w:ilvl w:val="0"/>
          <w:numId w:val="1024"/>
        </w:numPr>
        <w:pStyle w:val="Compact"/>
      </w:pPr>
      <w:r>
        <w:rPr>
          <w:bCs/>
          <w:b/>
        </w:rPr>
        <w:t xml:space="preserve">Sustainable Material Sourcing:</w:t>
      </w:r>
    </w:p>
    <w:p>
      <w:pPr>
        <w:numPr>
          <w:ilvl w:val="1"/>
          <w:numId w:val="1026"/>
        </w:numPr>
        <w:pStyle w:val="Compact"/>
      </w:pPr>
      <w:r>
        <w:t xml:space="preserve">Prioritize materials with lower embedded carbon, especially for high-impact components like the Aluminum Casing.</w:t>
      </w:r>
    </w:p>
    <w:p>
      <w:pPr>
        <w:numPr>
          <w:ilvl w:val="1"/>
          <w:numId w:val="1026"/>
        </w:numPr>
        <w:pStyle w:val="Compact"/>
      </w:pPr>
      <w:r>
        <w:t xml:space="preserve">Increase the percentage of recycled content in materials, verifying the origin and processing methods.</w:t>
      </w:r>
    </w:p>
    <w:p>
      <w:pPr>
        <w:numPr>
          <w:ilvl w:val="1"/>
          <w:numId w:val="1026"/>
        </w:numPr>
        <w:pStyle w:val="Compact"/>
      </w:pPr>
      <w:r>
        <w:t xml:space="preserve">Engage with suppliers to obtain primary data for material emission factors.</w:t>
      </w:r>
    </w:p>
    <w:p>
      <w:pPr>
        <w:numPr>
          <w:ilvl w:val="0"/>
          <w:numId w:val="1024"/>
        </w:numPr>
        <w:pStyle w:val="Compact"/>
      </w:pPr>
      <w:r>
        <w:rPr>
          <w:bCs/>
          <w:b/>
        </w:rPr>
        <w:t xml:space="preserve">Increase Renewable Energy in Manufacturing:</w:t>
      </w:r>
    </w:p>
    <w:p>
      <w:pPr>
        <w:numPr>
          <w:ilvl w:val="1"/>
          <w:numId w:val="1027"/>
        </w:numPr>
        <w:pStyle w:val="Compact"/>
      </w:pPr>
      <w:r>
        <w:t xml:space="preserve">Target 100% renewable energy procurement for manufacturing operations in China, through on-site generation or certified renewable energy credits/PPAs.</w:t>
      </w:r>
    </w:p>
    <w:p>
      <w:pPr>
        <w:numPr>
          <w:ilvl w:val="0"/>
          <w:numId w:val="1024"/>
        </w:numPr>
        <w:pStyle w:val="Compact"/>
      </w:pPr>
      <w:r>
        <w:rPr>
          <w:bCs/>
          <w:b/>
        </w:rPr>
        <w:t xml:space="preserve">Optimize Logistics:</w:t>
      </w:r>
    </w:p>
    <w:p>
      <w:pPr>
        <w:numPr>
          <w:ilvl w:val="1"/>
          <w:numId w:val="1028"/>
        </w:numPr>
        <w:pStyle w:val="Compact"/>
      </w:pPr>
      <w:r>
        <w:t xml:space="preserve">Explore multimodal transport options (e.g., rail, sea) over long distances to reduce reliance on road freight.</w:t>
      </w:r>
    </w:p>
    <w:p>
      <w:pPr>
        <w:numPr>
          <w:ilvl w:val="1"/>
          <w:numId w:val="1028"/>
        </w:numPr>
        <w:pStyle w:val="Compact"/>
      </w:pPr>
      <w:r>
        <w:t xml:space="preserve">Optimize shipping routes and consolidate shipments to improve load factors.</w:t>
      </w:r>
    </w:p>
    <w:p>
      <w:pPr>
        <w:numPr>
          <w:ilvl w:val="1"/>
          <w:numId w:val="1028"/>
        </w:numPr>
        <w:pStyle w:val="Compact"/>
      </w:pPr>
      <w:r>
        <w:t xml:space="preserve">Partner with logistics providers committed to low-carbon fleets.</w:t>
      </w:r>
    </w:p>
    <w:p>
      <w:pPr>
        <w:numPr>
          <w:ilvl w:val="0"/>
          <w:numId w:val="1024"/>
        </w:numPr>
        <w:pStyle w:val="Compact"/>
      </w:pPr>
      <w:r>
        <w:rPr>
          <w:bCs/>
          <w:b/>
        </w:rPr>
        <w:t xml:space="preserve">Strengthen Circular Economy Initiatives:</w:t>
      </w:r>
    </w:p>
    <w:p>
      <w:pPr>
        <w:numPr>
          <w:ilvl w:val="1"/>
          <w:numId w:val="1029"/>
        </w:numPr>
        <w:pStyle w:val="Compact"/>
      </w:pPr>
      <w:r>
        <w:t xml:space="preserve">Expand and promote the existing take-back programs to maximize product returns and material recovery.</w:t>
      </w:r>
    </w:p>
    <w:p>
      <w:pPr>
        <w:numPr>
          <w:ilvl w:val="1"/>
          <w:numId w:val="1029"/>
        </w:numPr>
        <w:pStyle w:val="Compact"/>
      </w:pPr>
      <w:r>
        <w:t xml:space="preserve">Design for disassembly and repairability to extend product lifespan and facilitate efficient recycling.</w:t>
      </w:r>
    </w:p>
    <w:p>
      <w:pPr>
        <w:numPr>
          <w:ilvl w:val="1"/>
          <w:numId w:val="1029"/>
        </w:numPr>
        <w:pStyle w:val="Compact"/>
      </w:pPr>
      <w:r>
        <w:t xml:space="preserve">Invest in innovative recycling technologies to improve recovery rates and reduce disposal impacts.</w:t>
      </w:r>
    </w:p>
    <w:p>
      <w:r>
        <w:pict>
          <v:rect style="width:0;height:1.5pt" o:hralign="center" o:hrstd="t" o:hr="t"/>
        </w:pict>
      </w:r>
    </w:p>
    <w:p>
      <w:pPr>
        <w:pStyle w:val="FirstParagraph"/>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jiinwsgiji - fxjyekssuo</dc:title>
  <dc:creator/>
  <dc:description>High-detail Product Carbon Footprint (PCF) analysis report for product jiinwsgiji, conducted for fxjyekssuo by Senior Sustainability Consultant dljppjevdp, adhering to GHG Protocol standards and the 2026 LSR update.</dc:description>
  <dc:language>en</dc:language>
  <cp:keywords/>
  <dcterms:created xsi:type="dcterms:W3CDTF">2026-07-15T05:32:32Z</dcterms:created>
  <dcterms:modified xsi:type="dcterms:W3CDTF">2026-07-15T05:32:32Z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