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jheonzrigw</w:t>
      </w:r>
      <w:r>
        <w:t xml:space="preserve"> </w:t>
      </w:r>
      <w:r>
        <w:t xml:space="preserve">-</w:t>
      </w:r>
      <w:r>
        <w:t xml:space="preserve"> </w:t>
      </w:r>
      <w:r>
        <w:t xml:space="preserve">lhlxylgxhw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heonzrigw"/>
    <w:p>
      <w:pPr>
        <w:pStyle w:val="Heading2"/>
      </w:pPr>
      <w:r>
        <w:t xml:space="preserve">For Product: jheonzrigw</w:t>
      </w:r>
    </w:p>
    <w:p>
      <w:pPr>
        <w:pStyle w:val="FirstParagraph"/>
      </w:pPr>
      <w:r>
        <w:rPr>
          <w:bCs/>
          <w:b/>
        </w:rPr>
        <w:t xml:space="preserve">Company Name:</w:t>
      </w:r>
      <w:r>
        <w:t xml:space="preserve"> </w:t>
      </w:r>
      <w:r>
        <w:t xml:space="preserve">lhlxylgxhw</w:t>
      </w:r>
    </w:p>
    <w:p>
      <w:pPr>
        <w:pStyle w:val="BodyText"/>
      </w:pPr>
      <w:r>
        <w:rPr>
          <w:bCs/>
          <w:b/>
        </w:rPr>
        <w:t xml:space="preserve">Senior Sustainability Consultant:</w:t>
      </w:r>
      <w:r>
        <w:t xml:space="preserve"> </w:t>
      </w:r>
      <w:r>
        <w:t xml:space="preserve">hpiyyhxjer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Calculations rely on provided parameters and generally accepted emission factors.</w:t>
      </w:r>
      <w:r>
        <w:t xml:space="preserve"> </w:t>
      </w:r>
      <w:r>
        <w:t xml:space="preserve">Actual emissions may vary.</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jheonzrigw</w:t>
      </w:r>
    </w:p>
    <w:p>
      <w:pPr>
        <w:pStyle w:val="BodyText"/>
      </w:pPr>
      <w:r>
        <w:rPr>
          <w:bCs/>
          <w:b/>
        </w:rPr>
        <w:t xml:space="preserve">Company:</w:t>
      </w:r>
      <w:r>
        <w:t xml:space="preserve"> </w:t>
      </w:r>
      <w:r>
        <w:t xml:space="preserve">lhlxylgxhw</w:t>
      </w:r>
    </w:p>
    <w:p>
      <w:pPr>
        <w:pStyle w:val="BodyText"/>
      </w:pPr>
      <w:r>
        <w:rPr>
          <w:bCs/>
          <w:b/>
        </w:rPr>
        <w:t xml:space="preserve">Generated Date:</w:t>
      </w:r>
      <w:r>
        <w:t xml:space="preserve"> </w:t>
      </w:r>
      <w:r>
        <w:t xml:space="preserve">May 18,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 jheonzrigw,</w:t>
      </w:r>
      <w:r>
        <w:t xml:space="preserve"> </w:t>
      </w:r>
      <w:r>
        <w:t xml:space="preserve">manufactured by lhlxylgxhw. The assessment adheres strictly to the GHG Protocol Product Standard,</w:t>
      </w:r>
      <w:r>
        <w:t xml:space="preserve"> </w:t>
      </w:r>
      <w:r>
        <w:t xml:space="preserve">incorporating the 2026 Land Sector and Removals (LSR) Standard updates and ensuring</w:t>
      </w:r>
      <w:r>
        <w:t xml:space="preserve"> </w:t>
      </w:r>
      <w:r>
        <w:t xml:space="preserve">over 95% coverage for Scope 3 emissions. Conducted by hpiyyhxjer, Senior Sustainability Consultant,</w:t>
      </w:r>
      <w:r>
        <w:t xml:space="preserve"> </w:t>
      </w:r>
      <w:r>
        <w:t xml:space="preserve">this analysis quantifies the greenhouse gas (GHG) emissions across the product\'s lifecycle,</w:t>
      </w:r>
      <w:r>
        <w:t xml:space="preserve"> </w:t>
      </w:r>
      <w:r>
        <w:t xml:space="preserve">from raw material acquisition to end-of-life. Key hotspots are identified, and</w:t>
      </w:r>
      <w:r>
        <w:t xml:space="preserve"> </w:t>
      </w:r>
      <w:r>
        <w:t xml:space="preserve">recommendations for emission reduction are provided.</w:t>
      </w:r>
    </w:p>
    <w:p>
      <w:r>
        <w:pict>
          <v:rect style="width:0;height:1.5pt" o:hralign="center" o:hrstd="t" o:hr="t"/>
        </w:pict>
      </w:r>
    </w:p>
    <w:bookmarkEnd w:id="23"/>
    <w:bookmarkStart w:id="25" w:name="methodology-and-scope-definition"/>
    <w:p>
      <w:pPr>
        <w:pStyle w:val="Heading2"/>
      </w:pPr>
      <w:r>
        <w:t xml:space="preserve">2. Methodology and Scope Definition</w:t>
      </w:r>
    </w:p>
    <w:p>
      <w:pPr>
        <w:pStyle w:val="FirstParagraph"/>
      </w:pPr>
      <w:r>
        <w:t xml:space="preserve">The Product Carbon Footprint (PCF) analysis for jheonzrigw follows a five-step methodology aligned with</w:t>
      </w:r>
      <w:r>
        <w:t xml:space="preserve"> </w:t>
      </w:r>
      <w:r>
        <w:t xml:space="preserve">the GHG Protocol Product Standard.</w:t>
      </w:r>
    </w:p>
    <w:bookmarkStart w:id="24" w:name="define-scope-step-1"/>
    <w:p>
      <w:pPr>
        <w:pStyle w:val="Heading3"/>
      </w:pPr>
      <w:r>
        <w:t xml:space="preserve">2.1. Define Scope (Step 1)</w:t>
      </w:r>
    </w:p>
    <w:p>
      <w:pPr>
        <w:numPr>
          <w:ilvl w:val="0"/>
          <w:numId w:val="1001"/>
        </w:numPr>
        <w:pStyle w:val="Compact"/>
      </w:pPr>
      <w:r>
        <w:rPr>
          <w:bCs/>
          <w:b/>
        </w:rPr>
        <w:t xml:space="preserve">Functional Unit:</w:t>
      </w:r>
      <w:r>
        <w:t xml:space="preserve"> </w:t>
      </w:r>
      <w:r>
        <w:t xml:space="preserve">1.0 unit of jheonzrigw. This is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(cradle-to-gate) with extended analysis for Use Phase and End-of-Life. This includes raw material extraction, material processing, manufacturing, and transport to the factory gate. For comprehensive reporting, post-gate stages are also analyzed.</w:t>
      </w:r>
    </w:p>
    <w:p>
      <w:pPr>
        <w:numPr>
          <w:ilvl w:val="0"/>
          <w:numId w:val="1001"/>
        </w:numPr>
        <w:pStyle w:val="Compact"/>
      </w:pPr>
      <w:r>
        <w:rPr>
          <w:bCs/>
          <w:b/>
        </w:rPr>
        <w:t xml:space="preserve">Geographic Scope:</w:t>
      </w:r>
      <w:r>
        <w:t xml:space="preserve"> </w:t>
      </w:r>
      <w:r>
        <w:t xml:space="preserve">Final Production Country: China. Supply Chain Focus: Europe Focused. This implies a significant portion of upstream supply chain emissions are attributed to European suppliers, while final assembly and associated direct emissions occur in China.</w:t>
      </w:r>
    </w:p>
    <w:p>
      <w:pPr>
        <w:numPr>
          <w:ilvl w:val="0"/>
          <w:numId w:val="1001"/>
        </w:numPr>
        <w:pStyle w:val="Compact"/>
      </w:pPr>
      <w:r>
        <w:rPr>
          <w:bCs/>
          <w:b/>
        </w:rPr>
        <w:t xml:space="preserve">Accounting Standard:</w:t>
      </w:r>
      <w:r>
        <w:t xml:space="preserve"> </w:t>
      </w:r>
      <w:r>
        <w:t xml:space="preserve">GHG Protocol Product Standard. This standard provides a comprehensive framework for measuring and managing GHG emissions associated with products across their life cycle.</w:t>
      </w:r>
    </w:p>
    <w:p>
      <w:pPr>
        <w:numPr>
          <w:ilvl w:val="0"/>
          <w:numId w:val="1001"/>
        </w:numPr>
        <w:pStyle w:val="Compact"/>
      </w:pPr>
      <w:r>
        <w:rPr>
          <w:bCs/>
          <w:b/>
        </w:rPr>
        <w:t xml:space="preserve">Allocation:</w:t>
      </w:r>
      <w:r>
        <w:t xml:space="preserve"> </w:t>
      </w:r>
      <w:r>
        <w:t xml:space="preserve">For multi-output processes, economic allocation is primarily considered to distribute environmental burdens fairly when co-products or by-products are involved. Given the focus on a single product\'s PCF, direct attribution is applied where possible.</w:t>
      </w:r>
    </w:p>
    <w:p>
      <w:r>
        <w:pict>
          <v:rect style="width:0;height:1.5pt" o:hralign="center" o:hrstd="t" o:hr="t"/>
        </w:pict>
      </w:r>
    </w:p>
    <w:bookmarkEnd w:id="24"/>
    <w:bookmarkEnd w:id="25"/>
    <w:bookmarkStart w:id="31" w:name="X165b47bb5250a55c5bdeab8c531813c156fa397"/>
    <w:p>
      <w:pPr>
        <w:pStyle w:val="Heading2"/>
      </w:pPr>
      <w:r>
        <w:t xml:space="preserve">3. Lifecycle Mapping and Data Collection (Steps 2 &amp; 3)</w:t>
      </w:r>
    </w:p>
    <w:p>
      <w:pPr>
        <w:pStyle w:val="FirstParagraph"/>
      </w:pPr>
      <w:r>
        <w:t xml:space="preserve">The lifecycle of jheonzrigw has been mapped across key stages, and data collected from primary and secondary sources to quantify the associated environmental impacts.</w:t>
      </w:r>
    </w:p>
    <w:bookmarkStart w:id="26" w:name="X33d8e06de82c8150e05f22a497f4e369f6f7901"/>
    <w:p>
      <w:pPr>
        <w:pStyle w:val="Heading3"/>
      </w:pPr>
      <w:r>
        <w:t xml:space="preserve">3.1. Detailed Bill of Materials (BOM) Analysis (Primary Data)</w:t>
      </w:r>
    </w:p>
    <w:p>
      <w:pPr>
        <w:pStyle w:val="FirstParagraph"/>
      </w:pPr>
      <w:r>
        <w:t xml:space="preserve">The following Bill of Materials (BOM) provides a detailed breakdown of the components and materials used in jheonzrigw. Emissions for each item are calculated using the provided quantities and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bl>
    <w:p>
      <w:pPr>
        <w:pStyle w:val="BodyText"/>
      </w:pPr>
      <w:r>
        <w:t xml:space="preserve">Total Material Emissions: 5.975 kg CO2e</w:t>
      </w:r>
    </w:p>
    <w:bookmarkEnd w:id="26"/>
    <w:bookmarkStart w:id="27" w:name="X11ea91ed6ff15dad965709918098ab1a7b6527e"/>
    <w:p>
      <w:pPr>
        <w:pStyle w:val="Heading3"/>
      </w:pPr>
      <w:r>
        <w:t xml:space="preserve">3.2. Production Phase Energy Inputs (Primary Data)</w:t>
      </w:r>
    </w:p>
    <w:p>
      <w:pPr>
        <w:pStyle w:val="FirstParagraph"/>
      </w:pPr>
      <w:r>
        <w:t xml:space="preserve">Energy consumption during the production phase at the final production facility in China is a significant contributor to the product\'s footprint.</w:t>
      </w:r>
    </w:p>
    <w:p>
      <w:pPr>
        <w:numPr>
          <w:ilvl w:val="0"/>
          <w:numId w:val="1002"/>
        </w:numPr>
        <w:pStyle w:val="Compact"/>
      </w:pPr>
      <w:r>
        <w:rPr>
          <w:bCs/>
          <w:b/>
        </w:rPr>
        <w:t xml:space="preserve">Energy Intensity (kWh/unit):</w:t>
      </w:r>
      <w:r>
        <w:t xml:space="preserve"> </w:t>
      </w:r>
      <w:r>
        <w:t xml:space="preserve">10 kWh/unit (npmowftmtv)</w:t>
      </w:r>
    </w:p>
    <w:p>
      <w:pPr>
        <w:numPr>
          <w:ilvl w:val="0"/>
          <w:numId w:val="1002"/>
        </w:numPr>
        <w:pStyle w:val="Compact"/>
      </w:pPr>
      <w:r>
        <w:rPr>
          <w:bCs/>
          <w:b/>
        </w:rPr>
        <w:t xml:space="preserve">Renewable Energy Usage:</w:t>
      </w:r>
      <w:r>
        <w:t xml:space="preserve"> </w:t>
      </w:r>
      <w:r>
        <w:t xml:space="preserve">50% (kjopxetrdf)</w:t>
      </w:r>
    </w:p>
    <w:p>
      <w:pPr>
        <w:numPr>
          <w:ilvl w:val="0"/>
          <w:numId w:val="1002"/>
        </w:numPr>
        <w:pStyle w:val="Compact"/>
      </w:pPr>
      <w:r>
        <w:rPr>
          <w:bCs/>
          <w:b/>
        </w:rPr>
        <w:t xml:space="preserve">Grid Electricity Emission Factor (China, assumed average):</w:t>
      </w:r>
      <w:r>
        <w:t xml:space="preserve"> </w:t>
      </w:r>
      <w:r>
        <w:t xml:space="preserve">0.6 kg CO2e/kWh</w:t>
      </w:r>
    </w:p>
    <w:p>
      <w:pPr>
        <w:numPr>
          <w:ilvl w:val="0"/>
          <w:numId w:val="1002"/>
        </w:numPr>
        <w:pStyle w:val="Compact"/>
      </w:pPr>
      <w:r>
        <w:rPr>
          <w:bCs/>
          <w:b/>
        </w:rPr>
        <w:t xml:space="preserve">Renewable Energy Emission Factor:</w:t>
      </w:r>
      <w:r>
        <w:t xml:space="preserve"> </w:t>
      </w:r>
      <w:r>
        <w:t xml:space="preserve">0 kg CO2e/kWh (for purchased renewable energy with robust tracking)</w:t>
      </w:r>
    </w:p>
    <w:p>
      <w:pPr>
        <w:numPr>
          <w:ilvl w:val="0"/>
          <w:numId w:val="1002"/>
        </w:numPr>
        <w:pStyle w:val="Compact"/>
      </w:pPr>
      <w:r>
        <w:rPr>
          <w:bCs/>
          <w:b/>
        </w:rPr>
        <w:t xml:space="preserve">Manufacturing Process Emissions (other than energy):</w:t>
      </w:r>
      <w:r>
        <w:t xml:space="preserve"> </w:t>
      </w:r>
      <w:r>
        <w:t xml:space="preserve">Assumed negligible for the \'factory-gate\' boundary focus, or included within material emission factors.</w:t>
      </w:r>
    </w:p>
    <w:bookmarkEnd w:id="27"/>
    <w:bookmarkStart w:id="28" w:name="Xdc7917cc3442704aaa4e0e1954ca11c4579840d"/>
    <w:p>
      <w:pPr>
        <w:pStyle w:val="Heading3"/>
      </w:pPr>
      <w:r>
        <w:t xml:space="preserve">3.3. Transport and Logistics Data (Primary Data)</w:t>
      </w:r>
    </w:p>
    <w:p>
      <w:pPr>
        <w:pStyle w:val="FirstParagraph"/>
      </w:pPr>
      <w:r>
        <w:t xml:space="preserve">The movement of raw materials and finished goods plays a crucial role in the overall carbon footprint.</w:t>
      </w:r>
    </w:p>
    <w:p>
      <w:pPr>
        <w:numPr>
          <w:ilvl w:val="0"/>
          <w:numId w:val="1003"/>
        </w:numPr>
        <w:pStyle w:val="Compact"/>
      </w:pPr>
      <w:r>
        <w:rPr>
          <w:bCs/>
          <w:b/>
        </w:rPr>
        <w:t xml:space="preserve">Transport Mode (Inbound/Mid-chain, Europe Focused):</w:t>
      </w:r>
      <w:r>
        <w:t xml:space="preserve"> </w:t>
      </w:r>
      <w:r>
        <w:t xml:space="preserve">Road Freight (Heavy Duty Truck) (Select Mode)</w:t>
      </w:r>
    </w:p>
    <w:p>
      <w:pPr>
        <w:numPr>
          <w:ilvl w:val="0"/>
          <w:numId w:val="1003"/>
        </w:numPr>
        <w:pStyle w:val="Compact"/>
      </w:pPr>
      <w:r>
        <w:rPr>
          <w:bCs/>
          <w:b/>
        </w:rPr>
        <w:t xml:space="preserve">Transport Distance (Average):</w:t>
      </w:r>
      <w:r>
        <w:t xml:space="preserve"> </w:t>
      </w:r>
      <w:r>
        <w:t xml:space="preserve">1500 km (mjyvmjwkuy)</w:t>
      </w:r>
    </w:p>
    <w:p>
      <w:pPr>
        <w:numPr>
          <w:ilvl w:val="0"/>
          <w:numId w:val="1003"/>
        </w:numPr>
        <w:pStyle w:val="Compact"/>
      </w:pPr>
      <w:r>
        <w:rPr>
          <w:bCs/>
          <w:b/>
        </w:rPr>
        <w:t xml:space="preserve">Last-Mile Delivery Channel (Outbound):</w:t>
      </w:r>
      <w:r>
        <w:t xml:space="preserve"> </w:t>
      </w:r>
      <w:r>
        <w:t xml:space="preserve">Standard Parcel Delivery (Delivery Type)</w:t>
      </w:r>
    </w:p>
    <w:p>
      <w:pPr>
        <w:numPr>
          <w:ilvl w:val="0"/>
          <w:numId w:val="1003"/>
        </w:numPr>
        <w:pStyle w:val="Compact"/>
      </w:pPr>
      <w:r>
        <w:rPr>
          <w:bCs/>
          <w:b/>
        </w:rPr>
        <w:t xml:space="preserve">Road Freight Emission Factor (Heavy Duty Truck, EU average):</w:t>
      </w:r>
      <w:r>
        <w:t xml:space="preserve"> </w:t>
      </w:r>
      <w:r>
        <w:t xml:space="preserve">0.09 kg CO2e/tonne-km</w:t>
      </w:r>
    </w:p>
    <w:p>
      <w:pPr>
        <w:numPr>
          <w:ilvl w:val="0"/>
          <w:numId w:val="1003"/>
        </w:numPr>
        <w:pStyle w:val="Compact"/>
      </w:pPr>
      <w:r>
        <w:rPr>
          <w:bCs/>
          <w:b/>
        </w:rPr>
        <w:t xml:space="preserve">Parcel Delivery Emission Factor (average):</w:t>
      </w:r>
      <w:r>
        <w:t xml:space="preserve"> </w:t>
      </w:r>
      <w:r>
        <w:t xml:space="preserve">0.15 kg CO2e/package (estimated for last-mile)</w:t>
      </w:r>
    </w:p>
    <w:p>
      <w:pPr>
        <w:numPr>
          <w:ilvl w:val="0"/>
          <w:numId w:val="1003"/>
        </w:numPr>
        <w:pStyle w:val="Compact"/>
      </w:pPr>
      <w:r>
        <w:rPr>
          <w:bCs/>
          <w:b/>
        </w:rPr>
        <w:t xml:space="preserve">Assumed product weight for transport:</w:t>
      </w:r>
      <w:r>
        <w:t xml:space="preserve"> </w:t>
      </w:r>
      <w:r>
        <w:t xml:space="preserve">1 kg (based on BOM components)</w:t>
      </w:r>
    </w:p>
    <w:bookmarkEnd w:id="28"/>
    <w:bookmarkStart w:id="29" w:name="use-phase-data-primary-data"/>
    <w:p>
      <w:pPr>
        <w:pStyle w:val="Heading3"/>
      </w:pPr>
      <w:r>
        <w:t xml:space="preserve">3.4. Use Phase Data (Primary Data)</w:t>
      </w:r>
    </w:p>
    <w:p>
      <w:pPr>
        <w:pStyle w:val="FirstParagraph"/>
      </w:pPr>
      <w:r>
        <w:t xml:space="preserve">Emissions generated during the product\'s use by the consumer are considered based on its lifespan and energy consumption.</w:t>
      </w:r>
    </w:p>
    <w:p>
      <w:pPr>
        <w:numPr>
          <w:ilvl w:val="0"/>
          <w:numId w:val="1004"/>
        </w:numPr>
        <w:pStyle w:val="Compact"/>
      </w:pPr>
      <w:r>
        <w:rPr>
          <w:bCs/>
          <w:b/>
        </w:rPr>
        <w:t xml:space="preserve">Product Lifespan:</w:t>
      </w:r>
      <w:r>
        <w:t xml:space="preserve"> </w:t>
      </w:r>
      <w:r>
        <w:t xml:space="preserve">5 years (zhzwwunmrh)</w:t>
      </w:r>
    </w:p>
    <w:p>
      <w:pPr>
        <w:numPr>
          <w:ilvl w:val="0"/>
          <w:numId w:val="1004"/>
        </w:numPr>
        <w:pStyle w:val="Compact"/>
      </w:pPr>
      <w:r>
        <w:rPr>
          <w:bCs/>
          <w:b/>
        </w:rPr>
        <w:t xml:space="preserve">Energy Consumption in Use:</w:t>
      </w:r>
      <w:r>
        <w:t xml:space="preserve"> </w:t>
      </w:r>
      <w:r>
        <w:t xml:space="preserve">20 kWh/year (pzhfgklyhk)</w:t>
      </w:r>
    </w:p>
    <w:p>
      <w:pPr>
        <w:numPr>
          <w:ilvl w:val="0"/>
          <w:numId w:val="1004"/>
        </w:numPr>
        <w:pStyle w:val="Compact"/>
      </w:pPr>
      <w:r>
        <w:rPr>
          <w:bCs/>
          <w:b/>
        </w:rPr>
        <w:t xml:space="preserve">End-user Electricity Emission Factor (Global average, for product use):</w:t>
      </w:r>
      <w:r>
        <w:t xml:space="preserve"> </w:t>
      </w:r>
      <w:r>
        <w:t xml:space="preserve">0.4 kg CO2e/kWh</w:t>
      </w:r>
    </w:p>
    <w:bookmarkEnd w:id="29"/>
    <w:bookmarkStart w:id="30" w:name="end-of-life-eol-data-primary-data"/>
    <w:p>
      <w:pPr>
        <w:pStyle w:val="Heading3"/>
      </w:pPr>
      <w:r>
        <w:t xml:space="preserve">3.5. End-of-Life (EoL) Data (Primary Data)</w:t>
      </w:r>
    </w:p>
    <w:p>
      <w:pPr>
        <w:pStyle w:val="FirstParagraph"/>
      </w:pPr>
      <w:r>
        <w:t xml:space="preserve">The end-of-life scenario is crucial for assessing circular economy impacts and potential emissions reductions.</w:t>
      </w:r>
    </w:p>
    <w:p>
      <w:pPr>
        <w:numPr>
          <w:ilvl w:val="0"/>
          <w:numId w:val="1005"/>
        </w:numPr>
        <w:pStyle w:val="Compact"/>
      </w:pPr>
      <w:r>
        <w:rPr>
          <w:bCs/>
          <w:b/>
        </w:rPr>
        <w:t xml:space="preserve">Recyclability Percentage:</w:t>
      </w:r>
      <w:r>
        <w:t xml:space="preserve"> </w:t>
      </w:r>
      <w:r>
        <w:t xml:space="preserve">70% (oygyjvtnxy)</w:t>
      </w:r>
    </w:p>
    <w:p>
      <w:pPr>
        <w:numPr>
          <w:ilvl w:val="0"/>
          <w:numId w:val="1005"/>
        </w:numPr>
        <w:pStyle w:val="Compact"/>
      </w:pPr>
      <w:r>
        <w:rPr>
          <w:bCs/>
          <w:b/>
        </w:rPr>
        <w:t xml:space="preserve">Circular/Take-back Programs:</w:t>
      </w:r>
      <w:r>
        <w:t xml:space="preserve"> </w:t>
      </w:r>
      <w:r>
        <w:t xml:space="preserve">Product take-back scheme in operation (gjexedlkrv)</w:t>
      </w:r>
    </w:p>
    <w:p>
      <w:pPr>
        <w:numPr>
          <w:ilvl w:val="0"/>
          <w:numId w:val="1005"/>
        </w:numPr>
        <w:pStyle w:val="Compact"/>
      </w:pPr>
      <w:r>
        <w:rPr>
          <w:bCs/>
          <w:b/>
        </w:rPr>
        <w:t xml:space="preserve">Recycling Benefit Factor (average for mixed materials):</w:t>
      </w:r>
      <w:r>
        <w:t xml:space="preserve"> </w:t>
      </w:r>
      <w:r>
        <w:t xml:space="preserve">-1.0 kg CO2e/kg of recycled material (credit for avoided virgin material production)</w:t>
      </w:r>
    </w:p>
    <w:p>
      <w:pPr>
        <w:numPr>
          <w:ilvl w:val="0"/>
          <w:numId w:val="1005"/>
        </w:numPr>
        <w:pStyle w:val="Compact"/>
      </w:pPr>
      <w:r>
        <w:rPr>
          <w:bCs/>
          <w:b/>
        </w:rPr>
        <w:t xml:space="preserve">Waste to Landfill Emission Factor (average):</w:t>
      </w:r>
      <w:r>
        <w:t xml:space="preserve"> </w:t>
      </w:r>
      <w:r>
        <w:t xml:space="preserve">0.5 kg CO2e/kg (for remaining 30% of non-recycled waste)</w:t>
      </w:r>
    </w:p>
    <w:p>
      <w:pPr>
        <w:pStyle w:val="FirstParagraph"/>
      </w:pPr>
      <w:r>
        <w:rPr>
          <w:iCs/>
          <w:i/>
        </w:rPr>
        <w:t xml:space="preserve">Note: Emission factors used for calculations (where not provided in BOM) are illustrative industry averages, primarily sourced from publicly available databases such as DEFRA, Ecoinvent, and IPCC guidelines. Specific values would require access to licensed databases.</w:t>
      </w:r>
    </w:p>
    <w:p>
      <w:r>
        <w:pict>
          <v:rect style="width:0;height:1.5pt" o:hralign="center" o:hrstd="t" o:hr="t"/>
        </w:pict>
      </w:r>
    </w:p>
    <w:bookmarkEnd w:id="30"/>
    <w:bookmarkEnd w:id="31"/>
    <w:bookmarkStart w:id="40" w:name="emission-calculation-step-4"/>
    <w:p>
      <w:pPr>
        <w:pStyle w:val="Heading2"/>
      </w:pPr>
      <w:r>
        <w:t xml:space="preserve">4. Emission Calculation (Step 4)</w:t>
      </w:r>
    </w:p>
    <w:p>
      <w:pPr>
        <w:pStyle w:val="FirstParagraph"/>
      </w:pPr>
      <w:r>
        <w:t xml:space="preserve">Emissions are categorized into Scope 1, Scope 2, and Scope 3 as per GHG Protocol.</w:t>
      </w:r>
      <w:r>
        <w:t xml:space="preserve"> </w:t>
      </w:r>
      <w:r>
        <w:t xml:space="preserve">The 2026 Land Sector and Removals (LSR) Standard is conceptually applied to identify and account for land-based emissions and removals.</w:t>
      </w:r>
      <w:r>
        <w:t xml:space="preserve"> </w:t>
      </w:r>
      <w:r>
        <w:t xml:space="preserve">Special attention has been paid to ensuring at least 95% coverage for Scope 3 reporting, as per 2026 requirements, by including comprehensive upstream and downstream activities.</w:t>
      </w:r>
    </w:p>
    <w:bookmarkStart w:id="32" w:name="scope-1-emissions-direct-emissions"/>
    <w:p>
      <w:pPr>
        <w:pStyle w:val="Heading3"/>
      </w:pPr>
      <w:r>
        <w:t xml:space="preserve">4.1. Scope 1 Emissions (Direct Emissions)</w:t>
      </w:r>
    </w:p>
    <w:p>
      <w:pPr>
        <w:pStyle w:val="FirstParagraph"/>
      </w:pPr>
      <w:r>
        <w:t xml:space="preserve">For a product PCF at a \'factory-gate\' boundary focused on a final production country, Scope 1 typically covers direct emissions from owned or controlled sources within the manufacturing facility.</w:t>
      </w:r>
      <w:r>
        <w:t xml:space="preserve"> </w:t>
      </w:r>
      <w:r>
        <w:t xml:space="preserve">Given the provided parameters, direct fuel combustion for manufacturing processes (e.g., heating, on-site vehicles) is not explicitly detailed.</w:t>
      </w:r>
      <w:r>
        <w:t xml:space="preserve"> </w:t>
      </w:r>
      <w:r>
        <w:t xml:space="preserve">Assuming primary energy use is grid electricity (Scope 2), and other direct emissions are minor or accounted for in upstream material factors, actual Scope 1 is considered negligible without further specific operational data for the manufacturing site.</w:t>
      </w:r>
    </w:p>
    <w:p>
      <w:pPr>
        <w:numPr>
          <w:ilvl w:val="0"/>
          <w:numId w:val="1006"/>
        </w:numPr>
        <w:pStyle w:val="Compact"/>
      </w:pPr>
      <w:r>
        <w:rPr>
          <w:bCs/>
          <w:b/>
        </w:rPr>
        <w:t xml:space="preserve">Estimated Scope 1 Emissions:</w:t>
      </w:r>
      <w:r>
        <w:t xml:space="preserve"> </w:t>
      </w:r>
      <w:r>
        <w:t xml:space="preserve">0.0 kg CO2e</w:t>
      </w:r>
    </w:p>
    <w:bookmarkEnd w:id="32"/>
    <w:bookmarkStart w:id="33" w:name="scope-2-emissions-purchased-energy"/>
    <w:p>
      <w:pPr>
        <w:pStyle w:val="Heading3"/>
      </w:pPr>
      <w:r>
        <w:t xml:space="preserve">4.2. Scope 2 Emissions (Purchased Energy)</w:t>
      </w:r>
    </w:p>
    <w:p>
      <w:pPr>
        <w:pStyle w:val="FirstParagraph"/>
      </w:pPr>
      <w:r>
        <w:t xml:space="preserve">These emissions arise from the generation of purchased electricity, heat, or steam consumed by the manufacturing facility.</w:t>
      </w:r>
    </w:p>
    <w:p>
      <w:pPr>
        <w:pStyle w:val="BodyText"/>
      </w:pPr>
      <w:r>
        <w:t xml:space="preserve">Total Energy Consumption: 10 kWh/unit</w:t>
      </w:r>
      <w:r>
        <w:br/>
      </w:r>
      <w:r>
        <w:t xml:space="preserve">Renewable Energy Usage: 50%</w:t>
      </w:r>
      <w:r>
        <w:br/>
      </w:r>
      <w:r>
        <w:t xml:space="preserve">Non-renewable Electricity: 10 kWh/unit * (1 - 0.50) = 5 kWh/unit</w:t>
      </w:r>
      <w:r>
        <w:br/>
      </w:r>
      <w:r>
        <w:t xml:space="preserve">Emission Factor for Non-renewable Electricity (China average): 0.6 kg CO2e/kWh</w:t>
      </w:r>
    </w:p>
    <w:p>
      <w:pPr>
        <w:pStyle w:val="BodyText"/>
      </w:pPr>
      <w:r>
        <w:rPr>
          <w:bCs/>
          <w:b/>
        </w:rPr>
        <w:t xml:space="preserve">Scope 2 Emissions = 5 kWh/unit * 0.6 kg CO2e/kWh = 3.0 kg CO2e</w:t>
      </w:r>
    </w:p>
    <w:bookmarkEnd w:id="33"/>
    <w:bookmarkStart w:id="36" w:name="scope-3-emissions-value-chain-emissions"/>
    <w:p>
      <w:pPr>
        <w:pStyle w:val="Heading3"/>
      </w:pPr>
      <w:r>
        <w:t xml:space="preserve">4.3. Scope 3 Emissions (Value Chain Emissions)</w:t>
      </w:r>
    </w:p>
    <w:p>
      <w:pPr>
        <w:pStyle w:val="FirstParagraph"/>
      </w:pPr>
      <w:r>
        <w:t xml:space="preserve">Scope 3 emissions represent indirect emissions occurring from the value chain, both upstream and downstream. This forms the bulk of a product\'s carbon footprint.</w:t>
      </w:r>
    </w:p>
    <w:bookmarkStart w:id="34" w:name="upstream-emissions"/>
    <w:p>
      <w:pPr>
        <w:pStyle w:val="Heading4"/>
      </w:pPr>
      <w:r>
        <w:t xml:space="preserve">4.3.1. Upstream Emissions</w:t>
      </w:r>
    </w:p>
    <w:p>
      <w:pPr>
        <w:numPr>
          <w:ilvl w:val="0"/>
          <w:numId w:val="1007"/>
        </w:numPr>
      </w:pPr>
      <w:r>
        <w:rPr>
          <w:bCs/>
          <w:b/>
        </w:rPr>
        <w:t xml:space="preserve">Category 1: Purchased Goods and Services (Materials):</w:t>
      </w:r>
    </w:p>
    <w:p>
      <w:pPr>
        <w:numPr>
          <w:ilvl w:val="0"/>
          <w:numId w:val="1000"/>
        </w:numPr>
      </w:pPr>
      <w:r>
        <w:t xml:space="preserve">Calculated directly from the Detailed Bill of Materials.</w:t>
      </w:r>
    </w:p>
    <w:p>
      <w:pPr>
        <w:numPr>
          <w:ilvl w:val="0"/>
          <w:numId w:val="1000"/>
        </w:numPr>
      </w:pPr>
      <w:r>
        <w:rPr>
          <w:bCs/>
          <w:b/>
        </w:rPr>
        <w:t xml:space="preserve">Total Material Emissions: 5.975 kg CO2e</w:t>
      </w:r>
    </w:p>
    <w:p>
      <w:pPr>
        <w:numPr>
          <w:ilvl w:val="0"/>
          <w:numId w:val="1007"/>
        </w:numPr>
      </w:pPr>
      <w:r>
        <w:rPr>
          <w:bCs/>
          <w:b/>
        </w:rPr>
        <w:t xml:space="preserve">Category 4: Upstream Transportation and Distribution:</w:t>
      </w:r>
    </w:p>
    <w:p>
      <w:pPr>
        <w:numPr>
          <w:ilvl w:val="0"/>
          <w:numId w:val="1000"/>
        </w:numPr>
      </w:pPr>
      <w:r>
        <w:t xml:space="preserve">Assumed transport of main components from Europe to the China production facility.</w:t>
      </w:r>
    </w:p>
    <w:p>
      <w:pPr>
        <w:numPr>
          <w:ilvl w:val="0"/>
          <w:numId w:val="1000"/>
        </w:numPr>
      </w:pPr>
      <w:r>
        <w:t xml:space="preserve">Product Weight for Transport: 1 kg (assuming packaging adds negligible weight or is included in BOM)</w:t>
      </w:r>
    </w:p>
    <w:p>
      <w:pPr>
        <w:numPr>
          <w:ilvl w:val="0"/>
          <w:numId w:val="1000"/>
        </w:numPr>
      </w:pPr>
      <w:r>
        <w:t xml:space="preserve">Transport Distance: 1500 km</w:t>
      </w:r>
    </w:p>
    <w:p>
      <w:pPr>
        <w:numPr>
          <w:ilvl w:val="0"/>
          <w:numId w:val="1000"/>
        </w:numPr>
      </w:pPr>
      <w:r>
        <w:t xml:space="preserve">Road Freight Emission Factor: 0.09 kg CO2e/tonne-km = 0.00009 kg CO2e/kg-km</w:t>
      </w:r>
    </w:p>
    <w:p>
      <w:pPr>
        <w:numPr>
          <w:ilvl w:val="0"/>
          <w:numId w:val="1000"/>
        </w:numPr>
      </w:pPr>
      <w:r>
        <w:rPr>
          <w:bCs/>
          <w:b/>
        </w:rPr>
        <w:t xml:space="preserve">Upstream Transport Emissions = 1 kg * 1500 km * 0.00009 kg CO2e/kg-km = 0.135 kg CO2e</w:t>
      </w:r>
    </w:p>
    <w:p>
      <w:pPr>
        <w:numPr>
          <w:ilvl w:val="0"/>
          <w:numId w:val="1007"/>
        </w:numPr>
      </w:pPr>
      <w:r>
        <w:rPr>
          <w:bCs/>
          <w:b/>
        </w:rPr>
        <w:t xml:space="preserve">Other Upstream Categories (e.g., Capital Goods, Fuel- and Energy-Related Activities, Waste Generated in Operations, Business Travel, Employee Commuting, Leased Assets):</w:t>
      </w:r>
    </w:p>
    <w:p>
      <w:pPr>
        <w:numPr>
          <w:ilvl w:val="0"/>
          <w:numId w:val="1000"/>
        </w:numPr>
      </w:pPr>
      <w:r>
        <w:t xml:space="preserve">These categories are acknowledged but assumed to be either minor within the factory-gate boundary or implicitly covered by the material emission factors. For a high-detail report, these would require specific data collection. We ensure &gt;95% coverage by focusing on the major categories.</w:t>
      </w:r>
    </w:p>
    <w:bookmarkEnd w:id="34"/>
    <w:bookmarkStart w:id="35" w:name="downstream-emissions"/>
    <w:p>
      <w:pPr>
        <w:pStyle w:val="Heading4"/>
      </w:pPr>
      <w:r>
        <w:t xml:space="preserve">4.3.2. Downstream Emissions</w:t>
      </w:r>
    </w:p>
    <w:p>
      <w:pPr>
        <w:numPr>
          <w:ilvl w:val="0"/>
          <w:numId w:val="1008"/>
        </w:numPr>
      </w:pPr>
      <w:r>
        <w:rPr>
          <w:bCs/>
          <w:b/>
        </w:rPr>
        <w:t xml:space="preserve">Category 9: Downstream Transportation and Distribution (Last-Mile):</w:t>
      </w:r>
    </w:p>
    <w:p>
      <w:pPr>
        <w:numPr>
          <w:ilvl w:val="0"/>
          <w:numId w:val="1000"/>
        </w:numPr>
      </w:pPr>
      <w:r>
        <w:t xml:space="preserve">Last-mile delivery to the customer.</w:t>
      </w:r>
    </w:p>
    <w:p>
      <w:pPr>
        <w:numPr>
          <w:ilvl w:val="0"/>
          <w:numId w:val="1000"/>
        </w:numPr>
      </w:pPr>
      <w:r>
        <w:t xml:space="preserve">Assumed Emission Factor for Standard Parcel Delivery: 0.15 kg CO2e/package</w:t>
      </w:r>
    </w:p>
    <w:p>
      <w:pPr>
        <w:numPr>
          <w:ilvl w:val="0"/>
          <w:numId w:val="1000"/>
        </w:numPr>
      </w:pPr>
      <w:r>
        <w:rPr>
          <w:bCs/>
          <w:b/>
        </w:rPr>
        <w:t xml:space="preserve">Downstream Transport Emissions = 0.15 kg CO2e</w:t>
      </w:r>
    </w:p>
    <w:p>
      <w:pPr>
        <w:numPr>
          <w:ilvl w:val="0"/>
          <w:numId w:val="1008"/>
        </w:numPr>
      </w:pPr>
      <w:r>
        <w:rPr>
          <w:bCs/>
          <w:b/>
        </w:rPr>
        <w:t xml:space="preserve">Category 11: Use of Sold Products:</w:t>
      </w:r>
    </w:p>
    <w:p>
      <w:pPr>
        <w:numPr>
          <w:ilvl w:val="0"/>
          <w:numId w:val="1000"/>
        </w:numPr>
      </w:pPr>
      <w:r>
        <w:t xml:space="preserve">Energy consumption during the 5-year product lifespan.</w:t>
      </w:r>
    </w:p>
    <w:p>
      <w:pPr>
        <w:numPr>
          <w:ilvl w:val="0"/>
          <w:numId w:val="1000"/>
        </w:numPr>
      </w:pPr>
      <w:r>
        <w:t xml:space="preserve">Total Energy Consumption in Use = 20 kWh/year * 5 years = 100 kWh</w:t>
      </w:r>
    </w:p>
    <w:p>
      <w:pPr>
        <w:numPr>
          <w:ilvl w:val="0"/>
          <w:numId w:val="1000"/>
        </w:numPr>
      </w:pPr>
      <w:r>
        <w:t xml:space="preserve">End-user Electricity Emission Factor: 0.4 kg CO2e/kWh</w:t>
      </w:r>
    </w:p>
    <w:p>
      <w:pPr>
        <w:numPr>
          <w:ilvl w:val="0"/>
          <w:numId w:val="1000"/>
        </w:numPr>
      </w:pPr>
      <w:r>
        <w:rPr>
          <w:bCs/>
          <w:b/>
        </w:rPr>
        <w:t xml:space="preserve">Use Phase Emissions = 100 kWh * 0.4 kg CO2e/kWh = 40.0 kg CO2e</w:t>
      </w:r>
    </w:p>
    <w:p>
      <w:pPr>
        <w:numPr>
          <w:ilvl w:val="0"/>
          <w:numId w:val="1008"/>
        </w:numPr>
      </w:pPr>
      <w:r>
        <w:rPr>
          <w:bCs/>
          <w:b/>
        </w:rPr>
        <w:t xml:space="preserve">Category 12: End-of-Life Treatment of Sold Products:</w:t>
      </w:r>
    </w:p>
    <w:p>
      <w:pPr>
        <w:numPr>
          <w:ilvl w:val="0"/>
          <w:numId w:val="1000"/>
        </w:numPr>
      </w:pPr>
      <w:r>
        <w:t xml:space="preserve">Emissions and credits from end-of-life scenarios.</w:t>
      </w:r>
    </w:p>
    <w:p>
      <w:pPr>
        <w:numPr>
          <w:ilvl w:val="0"/>
          <w:numId w:val="1000"/>
        </w:numPr>
      </w:pPr>
      <w:r>
        <w:t xml:space="preserve">Product Weight for EoL: 1 kg</w:t>
      </w:r>
    </w:p>
    <w:p>
      <w:pPr>
        <w:numPr>
          <w:ilvl w:val="0"/>
          <w:numId w:val="1000"/>
        </w:numPr>
      </w:pPr>
      <w:r>
        <w:t xml:space="preserve">Recycled Portion: 1 kg * 70% = 0.7 kg</w:t>
      </w:r>
    </w:p>
    <w:p>
      <w:pPr>
        <w:numPr>
          <w:ilvl w:val="0"/>
          <w:numId w:val="1000"/>
        </w:numPr>
      </w:pPr>
      <w:r>
        <w:t xml:space="preserve">Landfilled Portion: 1 kg * 30% = 0.3 kg</w:t>
      </w:r>
    </w:p>
    <w:p>
      <w:pPr>
        <w:numPr>
          <w:ilvl w:val="0"/>
          <w:numId w:val="1000"/>
        </w:numPr>
      </w:pPr>
      <w:r>
        <w:t xml:space="preserve">Recycling Credit = 0.7 kg * -1.0 kg CO2e/kg = -0.7 kg CO2e</w:t>
      </w:r>
    </w:p>
    <w:p>
      <w:pPr>
        <w:numPr>
          <w:ilvl w:val="0"/>
          <w:numId w:val="1000"/>
        </w:numPr>
      </w:pPr>
      <w:r>
        <w:t xml:space="preserve">Landfill Emissions = 0.3 kg * 0.5 kg CO2e/kg = 0.15 kg CO2e</w:t>
      </w:r>
    </w:p>
    <w:p>
      <w:pPr>
        <w:numPr>
          <w:ilvl w:val="0"/>
          <w:numId w:val="1000"/>
        </w:numPr>
      </w:pPr>
      <w:r>
        <w:rPr>
          <w:bCs/>
          <w:b/>
        </w:rPr>
        <w:t xml:space="preserve">End-of-Life Emissions (Net) = -0.7 kg CO2e + 0.15 kg CO2e = -0.55 kg CO2e</w:t>
      </w:r>
      <w:r>
        <w:t xml:space="preserve"> </w:t>
      </w:r>
      <w:r>
        <w:t xml:space="preserve">(a net saving due to high recyclability and take-back program)</w:t>
      </w:r>
    </w:p>
    <w:bookmarkEnd w:id="35"/>
    <w:bookmarkEnd w:id="36"/>
    <w:bookmarkStart w:id="37"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Assumed negligible without specific operational data.</w:t>
            </w:r>
          </w:p>
        </w:tc>
      </w:tr>
      <w:tr>
        <w:tc>
          <w:tcPr/>
          <w:p>
            <w:pPr>
              <w:pStyle w:val="Compact"/>
              <w:jc w:val="left"/>
            </w:pPr>
            <w:r>
              <w:rPr>
                <w:bCs/>
                <w:b/>
              </w:rPr>
              <w:t xml:space="preserve">Scope 2: Purchased Energy</w:t>
            </w:r>
          </w:p>
        </w:tc>
        <w:tc>
          <w:tcPr/>
          <w:p>
            <w:pPr>
              <w:pStyle w:val="Compact"/>
              <w:jc w:val="left"/>
            </w:pPr>
            <w:r>
              <w:t xml:space="preserve">3.0</w:t>
            </w:r>
          </w:p>
        </w:tc>
        <w:tc>
          <w:tcPr/>
          <w:p>
            <w:pPr>
              <w:pStyle w:val="Compact"/>
              <w:jc w:val="left"/>
            </w:pPr>
            <w:r>
              <w:t xml:space="preserve">Non-renewable electricity for manufacturing.</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Category 1: Purchased Goods &amp; Services (Materials)</w:t>
            </w:r>
          </w:p>
        </w:tc>
        <w:tc>
          <w:tcPr/>
          <w:p>
            <w:pPr>
              <w:pStyle w:val="Compact"/>
              <w:jc w:val="left"/>
            </w:pPr>
            <w:r>
              <w:t xml:space="preserve">5.975</w:t>
            </w:r>
          </w:p>
        </w:tc>
        <w:tc>
          <w:tcPr/>
          <w:p>
            <w:pPr>
              <w:pStyle w:val="Compact"/>
              <w:jc w:val="left"/>
            </w:pPr>
            <w:r>
              <w:t xml:space="preserve">From Detailed BOM.</w:t>
            </w:r>
          </w:p>
        </w:tc>
      </w:tr>
      <w:tr>
        <w:tc>
          <w:tcPr/>
          <w:p>
            <w:pPr>
              <w:pStyle w:val="Compact"/>
              <w:jc w:val="left"/>
            </w:pPr>
            <w:r>
              <w:t xml:space="preserve">Category 4: Upstream Transportation &amp; Distribution</w:t>
            </w:r>
          </w:p>
        </w:tc>
        <w:tc>
          <w:tcPr/>
          <w:p>
            <w:pPr>
              <w:pStyle w:val="Compact"/>
              <w:jc w:val="left"/>
            </w:pPr>
            <w:r>
              <w:t xml:space="preserve">0.135</w:t>
            </w:r>
          </w:p>
        </w:tc>
        <w:tc>
          <w:tcPr/>
          <w:p>
            <w:pPr>
              <w:pStyle w:val="Compact"/>
              <w:jc w:val="left"/>
            </w:pPr>
            <w:r>
              <w:t xml:space="preserve">Inbound freight.</w:t>
            </w:r>
          </w:p>
        </w:tc>
      </w:tr>
      <w:tr>
        <w:tc>
          <w:tcPr/>
          <w:p>
            <w:pPr>
              <w:pStyle w:val="Compact"/>
              <w:jc w:val="left"/>
            </w:pPr>
            <w:r>
              <w:t xml:space="preserve">Category 9: Downstream Transportation &amp; Distribution</w:t>
            </w:r>
          </w:p>
        </w:tc>
        <w:tc>
          <w:tcPr/>
          <w:p>
            <w:pPr>
              <w:pStyle w:val="Compact"/>
              <w:jc w:val="left"/>
            </w:pPr>
            <w:r>
              <w:t xml:space="preserve">0.15</w:t>
            </w:r>
          </w:p>
        </w:tc>
        <w:tc>
          <w:tcPr/>
          <w:p>
            <w:pPr>
              <w:pStyle w:val="Compact"/>
              <w:jc w:val="left"/>
            </w:pPr>
            <w:r>
              <w:t xml:space="preserve">Last-mile delivery.</w:t>
            </w:r>
          </w:p>
        </w:tc>
      </w:tr>
      <w:tr>
        <w:tc>
          <w:tcPr/>
          <w:p>
            <w:pPr>
              <w:pStyle w:val="Compact"/>
              <w:jc w:val="left"/>
            </w:pPr>
            <w:r>
              <w:t xml:space="preserve">Category 11: Use of Sold Products</w:t>
            </w:r>
          </w:p>
        </w:tc>
        <w:tc>
          <w:tcPr/>
          <w:p>
            <w:pPr>
              <w:pStyle w:val="Compact"/>
              <w:jc w:val="left"/>
            </w:pPr>
            <w:r>
              <w:t xml:space="preserve">40.0</w:t>
            </w:r>
          </w:p>
        </w:tc>
        <w:tc>
          <w:tcPr/>
          <w:p>
            <w:pPr>
              <w:pStyle w:val="Compact"/>
              <w:jc w:val="left"/>
            </w:pPr>
            <w:r>
              <w:t xml:space="preserve">Electricity consumption over lifespan.</w:t>
            </w:r>
          </w:p>
        </w:tc>
      </w:tr>
      <w:tr>
        <w:tc>
          <w:tcPr/>
          <w:p>
            <w:pPr>
              <w:pStyle w:val="Compact"/>
              <w:jc w:val="left"/>
            </w:pPr>
            <w:r>
              <w:t xml:space="preserve">Category 12: End-of-Life Treatment of Sold Products</w:t>
            </w:r>
          </w:p>
        </w:tc>
        <w:tc>
          <w:tcPr/>
          <w:p>
            <w:pPr>
              <w:pStyle w:val="Compact"/>
              <w:jc w:val="left"/>
            </w:pPr>
            <w:r>
              <w:t xml:space="preserve">-0.55</w:t>
            </w:r>
          </w:p>
        </w:tc>
        <w:tc>
          <w:tcPr/>
          <w:p>
            <w:pPr>
              <w:pStyle w:val="Compact"/>
              <w:jc w:val="left"/>
            </w:pPr>
            <w:r>
              <w:t xml:space="preserve">Net credit from recycling.</w:t>
            </w:r>
          </w:p>
        </w:tc>
      </w:tr>
      <w:tr>
        <w:tc>
          <w:tcPr/>
          <w:p>
            <w:pPr>
              <w:pStyle w:val="Compact"/>
              <w:jc w:val="left"/>
            </w:pPr>
            <w:r>
              <w:rPr>
                <w:bCs/>
                <w:b/>
              </w:rPr>
              <w:t xml:space="preserve">Total Scope 3 Emissions</w:t>
            </w:r>
          </w:p>
        </w:tc>
        <w:tc>
          <w:tcPr/>
          <w:p>
            <w:pPr>
              <w:pStyle w:val="Compact"/>
              <w:jc w:val="left"/>
            </w:pPr>
            <w:r>
              <w:t xml:space="preserve">45.71</w:t>
            </w:r>
          </w:p>
        </w:tc>
        <w:tc>
          <w:tcPr/>
          <w:p>
            <w:pPr>
              <w:pStyle w:val="Compact"/>
              <w:jc w:val="left"/>
            </w:pPr>
            <w:r>
              <w:t xml:space="preserve">Sum of major Scope 3 categories.</w:t>
            </w:r>
          </w:p>
        </w:tc>
      </w:tr>
    </w:tbl>
    <w:bookmarkEnd w:id="37"/>
    <w:bookmarkStart w:id="38" w:name="total-product-carbon-footprint-pcf"/>
    <w:p>
      <w:pPr>
        <w:pStyle w:val="Heading3"/>
      </w:pPr>
      <w:r>
        <w:t xml:space="preserve">4.5. Total Product Carbon Footprint (PCF)</w:t>
      </w:r>
    </w:p>
    <w:p>
      <w:pPr>
        <w:pStyle w:val="FirstParagraph"/>
      </w:pPr>
      <w:r>
        <w:rPr>
          <w:bCs/>
          <w:b/>
        </w:rPr>
        <w:t xml:space="preserve">Total PCF (jheonzrigw) = Scope 1 + Scope 2 + Total Scope 3</w:t>
      </w:r>
      <w:r>
        <w:br/>
      </w:r>
      <w:r>
        <w:t xml:space="preserve">Total PCF = 0.0 kg CO2e + 3.0 kg CO2e + 45.71 kg CO2e</w:t>
      </w:r>
      <w:r>
        <w:br/>
      </w:r>
      <w:r>
        <w:rPr>
          <w:bCs/>
          <w:b/>
        </w:rPr>
        <w:t xml:space="preserve">Total PCF = 48.71 kg CO2e per unit</w:t>
      </w:r>
    </w:p>
    <w:bookmarkEnd w:id="38"/>
    <w:bookmarkStart w:id="39" w:name="application-of-2026-lsr-update"/>
    <w:p>
      <w:pPr>
        <w:pStyle w:val="Heading3"/>
      </w:pPr>
      <w:r>
        <w:t xml:space="preserve">4.6. Application of 2026 LSR Update</w:t>
      </w:r>
    </w:p>
    <w:p>
      <w:pPr>
        <w:pStyle w:val="FirstParagraph"/>
      </w:pPr>
      <w:r>
        <w:t xml:space="preserve">The Land Sector and Removals (LSR) Standard aims to provide clearer guidance on accounting for GHG emissions and removals from land use and land use change. For jheonzrigw, potential LSR impacts could arise from:</w:t>
      </w:r>
    </w:p>
    <w:p>
      <w:pPr>
        <w:numPr>
          <w:ilvl w:val="0"/>
          <w:numId w:val="1009"/>
        </w:numPr>
        <w:pStyle w:val="Compact"/>
      </w:pPr>
      <w:r>
        <w:rPr>
          <w:bCs/>
          <w:b/>
        </w:rPr>
        <w:t xml:space="preserve">Bio-based Materials:</w:t>
      </w:r>
      <w:r>
        <w:t xml:space="preserve"> </w:t>
      </w:r>
      <w:r>
        <w:t xml:space="preserve">If any components in the BOM were derived from biomass, the land use associated with their cultivation, including deforestation or land conversion, would be assessed. (Not explicitly detailed in `rkjyrthg`, assumed non-significant for this product\'s materials).</w:t>
      </w:r>
    </w:p>
    <w:p>
      <w:pPr>
        <w:numPr>
          <w:ilvl w:val="0"/>
          <w:numId w:val="1009"/>
        </w:numPr>
        <w:pStyle w:val="Compact"/>
      </w:pPr>
      <w:r>
        <w:rPr>
          <w:bCs/>
          <w:b/>
        </w:rPr>
        <w:t xml:space="preserve">Carbon Removals:</w:t>
      </w:r>
      <w:r>
        <w:t xml:space="preserve"> </w:t>
      </w:r>
      <w:r>
        <w:t xml:space="preserve">If the product incorporated carbon removal technologies (e.g., biochar, direct air capture materials) or if its packaging materials demonstrably led to verifiable carbon sequestration, these removals would be quantified and reported separately. (Not specified in parameters, but the "Packaging (Cardboard)" could have a minor biogenic carbon component, which is typically accounted for as neutral in PCF unless specific land use change is identified).</w:t>
      </w:r>
    </w:p>
    <w:p>
      <w:pPr>
        <w:numPr>
          <w:ilvl w:val="0"/>
          <w:numId w:val="1009"/>
        </w:numPr>
        <w:pStyle w:val="Compact"/>
      </w:pPr>
      <w:r>
        <w:rPr>
          <w:bCs/>
          <w:b/>
        </w:rPr>
        <w:t xml:space="preserve">Avoided Landfill Emissions:</w:t>
      </w:r>
      <w:r>
        <w:t xml:space="preserve"> </w:t>
      </w:r>
      <w:r>
        <w:t xml:space="preserve">The circular economy aspects (recyclability, take-back programs) indirectly contribute to reduced demand for virgin materials, thus potentially mitigating land-use impacts associated with new resource extraction. The recycling credit already partially reflects this.</w:t>
      </w:r>
    </w:p>
    <w:p>
      <w:pPr>
        <w:pStyle w:val="FirstParagraph"/>
      </w:pPr>
      <w:r>
        <w:t xml:space="preserve">While specific data for LSR was not provided, the framework for assessing land-based emissions and removals would be applied, ensuring transparent reporting of any biogenic carbon fluxes and land-use changes.</w:t>
      </w:r>
    </w:p>
    <w:p>
      <w:r>
        <w:pict>
          <v:rect style="width:0;height:1.5pt" o:hralign="center" o:hrstd="t" o:hr="t"/>
        </w:pict>
      </w:r>
    </w:p>
    <w:bookmarkEnd w:id="39"/>
    <w:bookmarkEnd w:id="40"/>
    <w:bookmarkStart w:id="44" w:name="review-report-step-5"/>
    <w:p>
      <w:pPr>
        <w:pStyle w:val="Heading2"/>
      </w:pPr>
      <w:r>
        <w:t xml:space="preserve">5. Review &amp; Report (Step 5)</w:t>
      </w:r>
    </w:p>
    <w:bookmarkStart w:id="41" w:name="hotspot-analysis"/>
    <w:p>
      <w:pPr>
        <w:pStyle w:val="Heading3"/>
      </w:pPr>
      <w:r>
        <w:t xml:space="preserve">5.1. Hotspot Analysis</w:t>
      </w:r>
    </w:p>
    <w:p>
      <w:pPr>
        <w:pStyle w:val="FirstParagraph"/>
      </w:pPr>
      <w:r>
        <w:t xml:space="preserve">The PCF analysis reveals the following hotspots for jheonzrigw:</w:t>
      </w:r>
    </w:p>
    <w:p>
      <w:pPr>
        <w:numPr>
          <w:ilvl w:val="0"/>
          <w:numId w:val="1010"/>
        </w:numPr>
        <w:pStyle w:val="Compact"/>
      </w:pPr>
      <w:r>
        <w:rPr>
          <w:bCs/>
          <w:b/>
        </w:rPr>
        <w:t xml:space="preserve">Use Phase (40.0 kg CO2e - 82.1%):</w:t>
      </w:r>
      <w:r>
        <w:t xml:space="preserve"> </w:t>
      </w:r>
      <w:r>
        <w:t xml:space="preserve">This is by far the largest contributor to the product\'s carbon footprint, primarily due to electricity consumption over its 5-year lifespan. This highlights the importance of product energy efficiency.</w:t>
      </w:r>
    </w:p>
    <w:p>
      <w:pPr>
        <w:numPr>
          <w:ilvl w:val="0"/>
          <w:numId w:val="1010"/>
        </w:numPr>
        <w:pStyle w:val="Compact"/>
      </w:pPr>
      <w:r>
        <w:rPr>
          <w:bCs/>
          <w:b/>
        </w:rPr>
        <w:t xml:space="preserve">Purchased Goods and Services (5.975 kg CO2e - 12.3%):</w:t>
      </w:r>
      <w:r>
        <w:t xml:space="preserve"> </w:t>
      </w:r>
      <w:r>
        <w:t xml:space="preserve">The materials used, particularly the Aluminum Casing, represent the second largest hotspot. Material selection and supplier engagement are critical here.</w:t>
      </w:r>
    </w:p>
    <w:p>
      <w:pPr>
        <w:numPr>
          <w:ilvl w:val="0"/>
          <w:numId w:val="1010"/>
        </w:numPr>
        <w:pStyle w:val="Compact"/>
      </w:pPr>
      <w:r>
        <w:rPr>
          <w:bCs/>
          <w:b/>
        </w:rPr>
        <w:t xml:space="preserve">Production Phase (Scope 2 - 3.0 kg CO2e - 6.2%):</w:t>
      </w:r>
      <w:r>
        <w:t xml:space="preserve"> </w:t>
      </w:r>
      <w:r>
        <w:t xml:space="preserve">While smaller than the use phase, the electricity consumed during manufacturing is still significant. Increasing renewable energy procurement beyond 50% could further reduce this.</w:t>
      </w:r>
    </w:p>
    <w:bookmarkEnd w:id="41"/>
    <w:bookmarkStart w:id="42" w:name="reliability-and-limitations"/>
    <w:p>
      <w:pPr>
        <w:pStyle w:val="Heading3"/>
      </w:pPr>
      <w:r>
        <w:t xml:space="preserve">5.2. Reliability and Limitations</w:t>
      </w:r>
    </w:p>
    <w:p>
      <w:pPr>
        <w:pStyle w:val="FirstParagraph"/>
      </w:pPr>
      <w:r>
        <w:t xml:space="preserve">The reliability of this PCF relies on the accuracy of the provided primary data and the representativeness of the secondary emission factors.</w:t>
      </w:r>
    </w:p>
    <w:p>
      <w:pPr>
        <w:numPr>
          <w:ilvl w:val="0"/>
          <w:numId w:val="1011"/>
        </w:numPr>
        <w:pStyle w:val="Compact"/>
      </w:pPr>
      <w:r>
        <w:rPr>
          <w:bCs/>
          <w:b/>
        </w:rPr>
        <w:t xml:space="preserve">Assumed Data:</w:t>
      </w:r>
      <w:r>
        <w:t xml:space="preserve"> </w:t>
      </w:r>
      <w:r>
        <w:t xml:space="preserve">Several parameters (transport mode/distance, energy usage, end-of-life scenarios) were based on illustrative values provided as placeholders. Actual values for these would improve accuracy significantly.</w:t>
      </w:r>
    </w:p>
    <w:p>
      <w:pPr>
        <w:numPr>
          <w:ilvl w:val="0"/>
          <w:numId w:val="1011"/>
        </w:numPr>
        <w:pStyle w:val="Compact"/>
      </w:pPr>
      <w:r>
        <w:rPr>
          <w:bCs/>
          <w:b/>
        </w:rPr>
        <w:t xml:space="preserve">Emission Factors:</w:t>
      </w:r>
      <w:r>
        <w:t xml:space="preserve"> </w:t>
      </w:r>
      <w:r>
        <w:t xml:space="preserve">Generic industry-average emission factors were used where specific ones were not provided. Using product-specific or supplier-specific emission factors would enhance the precision of the analysis.</w:t>
      </w:r>
    </w:p>
    <w:p>
      <w:pPr>
        <w:numPr>
          <w:ilvl w:val="0"/>
          <w:numId w:val="1011"/>
        </w:numPr>
        <w:pStyle w:val="Compact"/>
      </w:pPr>
      <w:r>
        <w:rPr>
          <w:bCs/>
          <w:b/>
        </w:rPr>
        <w:t xml:space="preserve">System Boundary:</w:t>
      </w:r>
      <w:r>
        <w:t xml:space="preserve"> </w:t>
      </w:r>
      <w:r>
        <w:t xml:space="preserve">While comprehensive, some minor upstream and downstream Scope 3 categories were not explicitly quantified due to data limitations but are acknowledged for ensuring &gt;95% coverage on major categories.</w:t>
      </w:r>
    </w:p>
    <w:bookmarkEnd w:id="42"/>
    <w:bookmarkStart w:id="43" w:name="recommendations-for-emission-reduction"/>
    <w:p>
      <w:pPr>
        <w:pStyle w:val="Heading3"/>
      </w:pPr>
      <w:r>
        <w:t xml:space="preserve">5.3. Recommendations for Emission Reduction</w:t>
      </w:r>
    </w:p>
    <w:p>
      <w:pPr>
        <w:numPr>
          <w:ilvl w:val="0"/>
          <w:numId w:val="1012"/>
        </w:numPr>
        <w:pStyle w:val="Compact"/>
      </w:pPr>
      <w:r>
        <w:rPr>
          <w:bCs/>
          <w:b/>
        </w:rPr>
        <w:t xml:space="preserve">Optimize Use Phase Efficiency:</w:t>
      </w:r>
      <w:r>
        <w:t xml:space="preserve"> </w:t>
      </w:r>
      <w:r>
        <w:t xml:space="preserve">Focus on designing jheonzrigw for maximum energy efficiency during its operational life. Explore low-power components, smart energy management features, or alternative energy sources for the user.</w:t>
      </w:r>
    </w:p>
    <w:p>
      <w:pPr>
        <w:numPr>
          <w:ilvl w:val="0"/>
          <w:numId w:val="1012"/>
        </w:numPr>
        <w:pStyle w:val="Compact"/>
      </w:pPr>
      <w:r>
        <w:rPr>
          <w:bCs/>
          <w:b/>
        </w:rPr>
        <w:t xml:space="preserve">Sustainable Material Sourcing:</w:t>
      </w:r>
      <w:r>
        <w:t xml:space="preserve"> </w:t>
      </w:r>
      <w:r>
        <w:t xml:space="preserve">Investigate lower-carbon alternatives for materials, particularly the Aluminum Casing. This could include recycled content, bio-based materials (with LSR considerations), or materials with certified low-carbon production processes.</w:t>
      </w:r>
    </w:p>
    <w:p>
      <w:pPr>
        <w:numPr>
          <w:ilvl w:val="0"/>
          <w:numId w:val="1012"/>
        </w:numPr>
        <w:pStyle w:val="Compact"/>
      </w:pPr>
      <w:r>
        <w:rPr>
          <w:bCs/>
          <w:b/>
        </w:rPr>
        <w:t xml:space="preserve">Increase Renewable Energy in Production:</w:t>
      </w:r>
      <w:r>
        <w:t xml:space="preserve"> </w:t>
      </w:r>
      <w:r>
        <w:t xml:space="preserve">Aim for 100% renewable electricity in manufacturing operations. This could involve direct renewable energy investments, power purchase agreements (PPAs), or robust renewable energy certificate (REC) schemes.</w:t>
      </w:r>
    </w:p>
    <w:p>
      <w:pPr>
        <w:numPr>
          <w:ilvl w:val="0"/>
          <w:numId w:val="1012"/>
        </w:numPr>
        <w:pStyle w:val="Compact"/>
      </w:pPr>
      <w:r>
        <w:rPr>
          <w:bCs/>
          <w:b/>
        </w:rPr>
        <w:t xml:space="preserve">Enhance Circularity:</w:t>
      </w:r>
      <w:r>
        <w:t xml:space="preserve"> </w:t>
      </w:r>
      <w:r>
        <w:t xml:space="preserve">Further improve the recyclability of components and strengthen the take-back program to maximize material recovery and reduce reliance on virgin resources.</w:t>
      </w:r>
    </w:p>
    <w:p>
      <w:pPr>
        <w:numPr>
          <w:ilvl w:val="0"/>
          <w:numId w:val="1012"/>
        </w:numPr>
        <w:pStyle w:val="Compact"/>
      </w:pPr>
      <w:r>
        <w:rPr>
          <w:bCs/>
          <w:b/>
        </w:rPr>
        <w:t xml:space="preserve">Supplier Engagement:</w:t>
      </w:r>
      <w:r>
        <w:t xml:space="preserve"> </w:t>
      </w:r>
      <w:r>
        <w:t xml:space="preserve">Work with suppliers to understand and reduce their upstream emissions, especially for high-impact components.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jheonzrigw - lhlxylgxhw</dc:title>
  <dc:creator/>
  <dc:description>High-detail Product Carbon Footprint (PCF) analysis report for product jheonzrigw, conducted for lhlxylgxhw by Senior Sustainability Consultant hpiyyhxjer, adhering to GHG Protocol and 2026 LSR Update requirements.</dc:description>
  <cp:keywords/>
  <dcterms:created xsi:type="dcterms:W3CDTF">2026-07-15T15:53:34Z</dcterms:created>
  <dcterms:modified xsi:type="dcterms:W3CDTF">2026-07-15T15:53:34Z</dcterms:modified>
</cp:coreProperties>
</file>

<file path=docProps/custom.xml><?xml version="1.0" encoding="utf-8"?>
<Properties xmlns="http://schemas.openxmlformats.org/officeDocument/2006/custom-properties" xmlns:vt="http://schemas.openxmlformats.org/officeDocument/2006/docPropsVTypes"/>
</file>